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91" w:rsidRPr="008E1BFB" w:rsidRDefault="00404988" w:rsidP="00466E91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eastAsia="Calibri" w:hAnsi="Cambria" w:cs="Times New Roman"/>
          <w:b/>
          <w:sz w:val="24"/>
          <w:szCs w:val="24"/>
        </w:rPr>
        <w:t>Tab</w:t>
      </w:r>
      <w:r>
        <w:rPr>
          <w:rFonts w:ascii="Cambria" w:eastAsia="Calibri" w:hAnsi="Cambria" w:cs="Times New Roman"/>
          <w:b/>
          <w:sz w:val="24"/>
          <w:szCs w:val="24"/>
          <w:lang w:val="id-ID"/>
        </w:rPr>
        <w:t>el</w:t>
      </w:r>
      <w:r w:rsidR="00466E91" w:rsidRPr="008E1BFB">
        <w:rPr>
          <w:rFonts w:ascii="Cambria" w:eastAsia="Calibri" w:hAnsi="Cambria" w:cs="Times New Roman"/>
          <w:b/>
          <w:sz w:val="24"/>
          <w:szCs w:val="24"/>
        </w:rPr>
        <w:t xml:space="preserve"> 1</w:t>
      </w:r>
    </w:p>
    <w:p w:rsidR="00466E91" w:rsidRPr="00466E91" w:rsidRDefault="00404988" w:rsidP="00466E91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  <w:lang w:val="id-ID"/>
        </w:rPr>
      </w:pPr>
      <w:r>
        <w:rPr>
          <w:rFonts w:ascii="Cambria" w:eastAsia="Calibri" w:hAnsi="Cambria" w:cs="Times New Roman"/>
          <w:sz w:val="24"/>
          <w:szCs w:val="24"/>
          <w:lang w:val="id-ID"/>
        </w:rPr>
        <w:t>Penerimaan Pajak dan Bukan Pajak</w:t>
      </w:r>
    </w:p>
    <w:p w:rsidR="00466E91" w:rsidRDefault="00404988" w:rsidP="00466E91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  <w:lang w:val="id-ID"/>
        </w:rPr>
      </w:pPr>
      <w:r>
        <w:rPr>
          <w:rFonts w:ascii="Cambria" w:eastAsia="Calibri" w:hAnsi="Cambria" w:cs="Times New Roman"/>
          <w:sz w:val="24"/>
          <w:szCs w:val="24"/>
          <w:lang w:val="id-ID"/>
        </w:rPr>
        <w:t xml:space="preserve">Minyak dan Gas Bumi dan Pertambangan </w:t>
      </w:r>
      <w:r w:rsidR="00466E91" w:rsidRPr="00466E91">
        <w:rPr>
          <w:rFonts w:ascii="Cambria" w:eastAsia="Calibri" w:hAnsi="Cambria" w:cs="Times New Roman"/>
          <w:sz w:val="24"/>
          <w:szCs w:val="24"/>
        </w:rPr>
        <w:t>(</w:t>
      </w:r>
      <w:r>
        <w:rPr>
          <w:rFonts w:ascii="Cambria" w:eastAsia="Calibri" w:hAnsi="Cambria" w:cs="Times New Roman"/>
          <w:sz w:val="24"/>
          <w:szCs w:val="24"/>
          <w:lang w:val="id-ID"/>
        </w:rPr>
        <w:t xml:space="preserve">dalam triliun </w:t>
      </w:r>
      <w:r w:rsidR="00466E91" w:rsidRPr="00466E91">
        <w:rPr>
          <w:rFonts w:ascii="Cambria" w:eastAsia="Calibri" w:hAnsi="Cambria" w:cs="Times New Roman"/>
          <w:sz w:val="24"/>
          <w:szCs w:val="24"/>
          <w:lang w:val="id-ID"/>
        </w:rPr>
        <w:t>Rup</w:t>
      </w:r>
      <w:proofErr w:type="spellStart"/>
      <w:r>
        <w:rPr>
          <w:rFonts w:ascii="Cambria" w:eastAsia="Calibri" w:hAnsi="Cambria" w:cs="Times New Roman"/>
          <w:sz w:val="24"/>
          <w:szCs w:val="24"/>
        </w:rPr>
        <w:t>iah</w:t>
      </w:r>
      <w:proofErr w:type="spellEnd"/>
      <w:r w:rsidR="00466E91" w:rsidRPr="00466E91">
        <w:rPr>
          <w:rFonts w:ascii="Cambria" w:eastAsia="Calibri" w:hAnsi="Cambria" w:cs="Times New Roman"/>
          <w:sz w:val="24"/>
          <w:szCs w:val="24"/>
        </w:rPr>
        <w:t>)</w:t>
      </w:r>
      <w:r w:rsidR="00F95D89">
        <w:rPr>
          <w:rFonts w:ascii="Cambria" w:eastAsia="Calibri" w:hAnsi="Cambria" w:cs="Times New Roman"/>
          <w:sz w:val="24"/>
          <w:szCs w:val="24"/>
          <w:lang w:val="id-ID"/>
        </w:rPr>
        <w:t xml:space="preserve"> tahun 2011</w:t>
      </w:r>
      <w:r w:rsidR="00466E91" w:rsidRPr="00466E91">
        <w:rPr>
          <w:rFonts w:ascii="Cambria" w:eastAsia="Calibri" w:hAnsi="Cambria" w:cs="Times New Roman"/>
          <w:sz w:val="24"/>
          <w:szCs w:val="24"/>
          <w:vertAlign w:val="superscript"/>
        </w:rPr>
        <w:footnoteReference w:id="1"/>
      </w:r>
    </w:p>
    <w:p w:rsidR="004716DA" w:rsidRPr="004716DA" w:rsidRDefault="004716DA" w:rsidP="00466E91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  <w:lang w:val="id-ID"/>
        </w:rPr>
      </w:pPr>
    </w:p>
    <w:tbl>
      <w:tblPr>
        <w:tblW w:w="4804" w:type="pct"/>
        <w:jc w:val="center"/>
        <w:tblInd w:w="-226" w:type="dxa"/>
        <w:tblBorders>
          <w:top w:val="single" w:sz="8" w:space="0" w:color="000000"/>
          <w:bottom w:val="single" w:sz="8" w:space="0" w:color="000000"/>
        </w:tblBorders>
        <w:tblLook w:val="0660" w:firstRow="1" w:lastRow="1" w:firstColumn="0" w:lastColumn="0" w:noHBand="1" w:noVBand="1"/>
      </w:tblPr>
      <w:tblGrid>
        <w:gridCol w:w="1466"/>
        <w:gridCol w:w="5700"/>
        <w:gridCol w:w="930"/>
        <w:gridCol w:w="1105"/>
      </w:tblGrid>
      <w:tr w:rsidR="00495EB7" w:rsidRPr="00466E91" w:rsidTr="00466E91">
        <w:trPr>
          <w:jc w:val="center"/>
        </w:trPr>
        <w:tc>
          <w:tcPr>
            <w:tcW w:w="797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C2263" w:rsidRPr="00466E91" w:rsidRDefault="00404988" w:rsidP="00404988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val="id-ID"/>
              </w:rPr>
              <w:t>Kode Akun</w:t>
            </w:r>
            <w:r w:rsidR="004C2263" w:rsidRPr="00466E91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vertAlign w:val="superscript"/>
                <w:lang w:val="id-ID"/>
              </w:rPr>
              <w:footnoteReference w:id="2"/>
            </w:r>
          </w:p>
        </w:tc>
        <w:tc>
          <w:tcPr>
            <w:tcW w:w="3097" w:type="pct"/>
            <w:tcBorders>
              <w:top w:val="single" w:sz="8" w:space="0" w:color="000000"/>
              <w:bottom w:val="double" w:sz="4" w:space="0" w:color="auto"/>
            </w:tcBorders>
            <w:noWrap/>
          </w:tcPr>
          <w:p w:rsidR="004C2263" w:rsidRPr="00466E91" w:rsidRDefault="00404988" w:rsidP="004C226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val="id-ID"/>
              </w:rPr>
              <w:t>Keterangan</w:t>
            </w:r>
          </w:p>
        </w:tc>
        <w:tc>
          <w:tcPr>
            <w:tcW w:w="505" w:type="pct"/>
            <w:tcBorders>
              <w:top w:val="single" w:sz="8" w:space="0" w:color="000000"/>
              <w:bottom w:val="double" w:sz="4" w:space="0" w:color="auto"/>
            </w:tcBorders>
          </w:tcPr>
          <w:p w:rsidR="004C2263" w:rsidRPr="00466E91" w:rsidRDefault="004C2263" w:rsidP="004C226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466E91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600" w:type="pct"/>
            <w:tcBorders>
              <w:top w:val="single" w:sz="8" w:space="0" w:color="000000"/>
              <w:bottom w:val="double" w:sz="4" w:space="0" w:color="auto"/>
            </w:tcBorders>
          </w:tcPr>
          <w:p w:rsidR="004C2263" w:rsidRPr="00466E91" w:rsidRDefault="004C2263" w:rsidP="004C226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 w:rsidRPr="00466E91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val="id-ID"/>
              </w:rPr>
              <w:t>%</w:t>
            </w:r>
          </w:p>
        </w:tc>
      </w:tr>
      <w:tr w:rsidR="00FF1CC8" w:rsidRPr="004C2263" w:rsidTr="00272970">
        <w:trPr>
          <w:trHeight w:val="232"/>
          <w:jc w:val="center"/>
        </w:trPr>
        <w:tc>
          <w:tcPr>
            <w:tcW w:w="3894" w:type="pct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262626" w:themeFill="text1" w:themeFillTint="D9"/>
          </w:tcPr>
          <w:p w:rsidR="00FF1CC8" w:rsidRPr="00272970" w:rsidRDefault="00404988" w:rsidP="00404988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color w:val="FFFFFF" w:themeColor="background1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/>
                <w:color w:val="FFFFFF" w:themeColor="background1"/>
                <w:sz w:val="24"/>
                <w:szCs w:val="24"/>
                <w:lang w:val="id-ID"/>
              </w:rPr>
              <w:t>Sektor minyak dan gas bumi</w:t>
            </w:r>
          </w:p>
        </w:tc>
        <w:tc>
          <w:tcPr>
            <w:tcW w:w="505" w:type="pct"/>
            <w:tcBorders>
              <w:top w:val="double" w:sz="4" w:space="0" w:color="auto"/>
              <w:bottom w:val="single" w:sz="6" w:space="0" w:color="auto"/>
            </w:tcBorders>
            <w:shd w:val="clear" w:color="auto" w:fill="262626" w:themeFill="text1" w:themeFillTint="D9"/>
          </w:tcPr>
          <w:p w:rsidR="00FF1CC8" w:rsidRPr="00272970" w:rsidRDefault="00F95D89" w:rsidP="004012E1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  <w:t>299.87</w:t>
            </w:r>
          </w:p>
        </w:tc>
        <w:tc>
          <w:tcPr>
            <w:tcW w:w="600" w:type="pct"/>
            <w:tcBorders>
              <w:top w:val="double" w:sz="4" w:space="0" w:color="auto"/>
              <w:bottom w:val="single" w:sz="6" w:space="0" w:color="auto"/>
            </w:tcBorders>
            <w:shd w:val="clear" w:color="auto" w:fill="262626" w:themeFill="text1" w:themeFillTint="D9"/>
          </w:tcPr>
          <w:p w:rsidR="00FF1CC8" w:rsidRPr="00272970" w:rsidRDefault="00F95D89" w:rsidP="004012E1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  <w:t>75</w:t>
            </w:r>
            <w:r w:rsidR="00FF1CC8" w:rsidRPr="00272970"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  <w:t>%</w:t>
            </w:r>
          </w:p>
        </w:tc>
      </w:tr>
      <w:tr w:rsidR="00FF1CC8" w:rsidRPr="004C2263" w:rsidTr="00513889">
        <w:trPr>
          <w:trHeight w:val="232"/>
          <w:jc w:val="center"/>
        </w:trPr>
        <w:tc>
          <w:tcPr>
            <w:tcW w:w="3894" w:type="pct"/>
            <w:gridSpan w:val="2"/>
            <w:tcBorders>
              <w:top w:val="single" w:sz="6" w:space="0" w:color="auto"/>
              <w:bottom w:val="nil"/>
            </w:tcBorders>
            <w:shd w:val="clear" w:color="auto" w:fill="EAF1DD" w:themeFill="accent3" w:themeFillTint="33"/>
          </w:tcPr>
          <w:p w:rsidR="00FF1CC8" w:rsidRPr="004C2263" w:rsidRDefault="00404988" w:rsidP="004C2263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  <w:t>Penerimaan Pajak</w:t>
            </w:r>
          </w:p>
        </w:tc>
        <w:tc>
          <w:tcPr>
            <w:tcW w:w="505" w:type="pct"/>
            <w:tcBorders>
              <w:top w:val="single" w:sz="6" w:space="0" w:color="auto"/>
              <w:bottom w:val="nil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808080"/>
                <w:sz w:val="24"/>
                <w:szCs w:val="24"/>
                <w:lang w:val="id-ID"/>
              </w:rPr>
            </w:pPr>
          </w:p>
        </w:tc>
        <w:tc>
          <w:tcPr>
            <w:tcW w:w="600" w:type="pct"/>
            <w:tcBorders>
              <w:top w:val="single" w:sz="6" w:space="0" w:color="auto"/>
              <w:bottom w:val="nil"/>
            </w:tcBorders>
            <w:shd w:val="clear" w:color="auto" w:fill="EAF1DD" w:themeFill="accent3" w:themeFillTint="33"/>
          </w:tcPr>
          <w:p w:rsidR="00FF1CC8" w:rsidRPr="00513889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808080"/>
                <w:sz w:val="24"/>
                <w:szCs w:val="24"/>
                <w:lang w:val="id-ID"/>
              </w:rPr>
            </w:pPr>
          </w:p>
        </w:tc>
      </w:tr>
      <w:tr w:rsidR="00C8454F" w:rsidRPr="004C2263" w:rsidTr="00466E91">
        <w:trPr>
          <w:trHeight w:val="232"/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sz w:val="24"/>
                <w:szCs w:val="24"/>
                <w:lang w:val="id-ID"/>
              </w:rPr>
              <w:t>411111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04988" w:rsidRDefault="00404988" w:rsidP="00F9139B">
            <w:pPr>
              <w:spacing w:after="0" w:line="240" w:lineRule="auto"/>
              <w:rPr>
                <w:rFonts w:ascii="Cambria" w:hAnsi="Cambria"/>
                <w:sz w:val="24"/>
                <w:szCs w:val="24"/>
                <w:lang w:val="id-ID"/>
              </w:rPr>
            </w:pPr>
            <w:r>
              <w:rPr>
                <w:rFonts w:ascii="Cambria" w:hAnsi="Cambria"/>
                <w:sz w:val="24"/>
                <w:szCs w:val="24"/>
                <w:lang w:val="id-ID"/>
              </w:rPr>
              <w:t>Pajak penghasilan minyak bumi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iCs/>
                <w:sz w:val="24"/>
                <w:szCs w:val="24"/>
              </w:rPr>
              <w:t>25</w:t>
            </w:r>
            <w:r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Calibri" w:hAnsi="Cambria" w:cs="Times New Roman"/>
                <w:iCs/>
                <w:sz w:val="24"/>
                <w:szCs w:val="24"/>
              </w:rPr>
              <w:t>94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6A6845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6.51%</w:t>
            </w:r>
          </w:p>
        </w:tc>
      </w:tr>
      <w:tr w:rsidR="00C8454F" w:rsidRPr="004C2263" w:rsidTr="00466E91">
        <w:trPr>
          <w:trHeight w:val="232"/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sz w:val="24"/>
                <w:szCs w:val="24"/>
                <w:lang w:val="id-ID"/>
              </w:rPr>
              <w:t>411119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04988" w:rsidRDefault="00404988" w:rsidP="00F9139B">
            <w:pPr>
              <w:spacing w:after="0" w:line="240" w:lineRule="auto"/>
              <w:rPr>
                <w:rFonts w:ascii="Cambria" w:hAnsi="Cambria"/>
                <w:sz w:val="24"/>
                <w:szCs w:val="24"/>
                <w:lang w:val="id-ID"/>
              </w:rPr>
            </w:pPr>
            <w:r>
              <w:rPr>
                <w:rFonts w:ascii="Cambria" w:hAnsi="Cambria"/>
                <w:sz w:val="24"/>
                <w:szCs w:val="24"/>
                <w:lang w:val="id-ID"/>
              </w:rPr>
              <w:t>Pajak Penghasilan gas bumi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iCs/>
                <w:sz w:val="24"/>
                <w:szCs w:val="24"/>
              </w:rPr>
              <w:t>47</w:t>
            </w:r>
            <w:r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Calibri" w:hAnsi="Cambria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6A6845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11.83%</w:t>
            </w:r>
          </w:p>
        </w:tc>
      </w:tr>
      <w:tr w:rsidR="00C8454F" w:rsidRPr="004C2263" w:rsidTr="00466E91">
        <w:trPr>
          <w:trHeight w:val="232"/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sz w:val="24"/>
                <w:szCs w:val="24"/>
                <w:lang w:val="id-ID"/>
              </w:rPr>
              <w:t>411316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Default="00404988" w:rsidP="00F9139B">
            <w:pPr>
              <w:spacing w:after="0" w:line="240" w:lineRule="auto"/>
              <w:rPr>
                <w:rFonts w:ascii="Cambria" w:hAnsi="Cambria"/>
                <w:sz w:val="24"/>
                <w:szCs w:val="24"/>
                <w:lang w:val="id-ID"/>
              </w:rPr>
            </w:pPr>
            <w:r>
              <w:rPr>
                <w:rFonts w:ascii="Cambria" w:hAnsi="Cambria"/>
                <w:sz w:val="24"/>
                <w:szCs w:val="24"/>
                <w:lang w:val="id-ID"/>
              </w:rPr>
              <w:t>PBB Migas</w:t>
            </w:r>
          </w:p>
          <w:p w:rsidR="00F95D89" w:rsidRPr="00404988" w:rsidRDefault="00F95D89" w:rsidP="00F9139B">
            <w:pPr>
              <w:spacing w:after="0" w:line="240" w:lineRule="auto"/>
              <w:rPr>
                <w:rFonts w:ascii="Cambria" w:hAnsi="Cambria"/>
                <w:sz w:val="24"/>
                <w:szCs w:val="24"/>
                <w:lang w:val="id-ID"/>
              </w:rPr>
            </w:pP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iCs/>
                <w:sz w:val="24"/>
                <w:szCs w:val="24"/>
              </w:rPr>
              <w:t>20</w:t>
            </w:r>
            <w:r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Calibri" w:hAnsi="Cambria" w:cs="Times New Roman"/>
                <w:iCs/>
                <w:sz w:val="24"/>
                <w:szCs w:val="24"/>
              </w:rPr>
              <w:t>48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6A6845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5.14%</w:t>
            </w:r>
          </w:p>
        </w:tc>
      </w:tr>
      <w:tr w:rsidR="00FF1CC8" w:rsidRPr="004C2263" w:rsidTr="00513889">
        <w:trPr>
          <w:trHeight w:val="232"/>
          <w:jc w:val="center"/>
        </w:trPr>
        <w:tc>
          <w:tcPr>
            <w:tcW w:w="3894" w:type="pct"/>
            <w:gridSpan w:val="2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67295F" w:rsidRDefault="0067295F" w:rsidP="004C2263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</w:pPr>
          </w:p>
          <w:p w:rsidR="00FF1CC8" w:rsidRPr="004C2263" w:rsidRDefault="00404988" w:rsidP="004C2263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  <w:t>Penerimaan Bukan Pajak</w:t>
            </w:r>
            <w:r w:rsidR="00707F85">
              <w:rPr>
                <w:rStyle w:val="FootnoteReference"/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  <w:footnoteReference w:id="3"/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FF1CC8" w:rsidRPr="00A8683F" w:rsidRDefault="00FF1CC8" w:rsidP="004C2263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sz w:val="24"/>
                <w:szCs w:val="24"/>
                <w:lang w:val="id-ID"/>
              </w:rPr>
              <w:t>421111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C2263" w:rsidRDefault="00404988" w:rsidP="00ED23BD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val="id-ID"/>
              </w:rPr>
              <w:t>Penerimaan minyak</w:t>
            </w:r>
            <w:r w:rsidR="003E0181">
              <w:rPr>
                <w:rStyle w:val="FootnoteReference"/>
                <w:rFonts w:ascii="Cambria" w:eastAsia="Calibri" w:hAnsi="Cambria" w:cs="Times New Roman"/>
                <w:sz w:val="24"/>
                <w:szCs w:val="24"/>
                <w:lang w:val="id-ID"/>
              </w:rPr>
              <w:footnoteReference w:id="4"/>
            </w:r>
            <w:r w:rsidR="00ED23BD">
              <w:rPr>
                <w:rStyle w:val="FootnoteReference"/>
                <w:rFonts w:ascii="Cambria" w:eastAsia="Calibri" w:hAnsi="Cambria" w:cs="Times New Roman"/>
                <w:sz w:val="24"/>
                <w:szCs w:val="24"/>
                <w:lang w:val="id-ID"/>
              </w:rPr>
              <w:footnoteReference w:id="5"/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141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Times New Roman" w:hAnsi="Cambria" w:cs="Times New Roman"/>
                <w:sz w:val="24"/>
                <w:szCs w:val="24"/>
              </w:rPr>
              <w:t>30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6A6845" w:rsidRDefault="00F95D89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35.46</w:t>
            </w:r>
            <w:r w:rsidR="00FF1CC8"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%</w:t>
            </w: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421211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Default="005803D4" w:rsidP="004C2263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Penerimaan gas</w:t>
            </w:r>
            <w:r w:rsidR="00E36B5E">
              <w:rPr>
                <w:rStyle w:val="FootnoteReference"/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footnoteReference w:id="6"/>
            </w:r>
          </w:p>
          <w:p w:rsidR="00F95D89" w:rsidRPr="004C2263" w:rsidRDefault="00F95D89" w:rsidP="004C2263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52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Times New Roman" w:hAnsi="Cambria" w:cs="Times New Roman"/>
                <w:sz w:val="24"/>
                <w:szCs w:val="24"/>
              </w:rPr>
              <w:t>19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6A6845" w:rsidRDefault="00F95D89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13.10</w:t>
            </w:r>
            <w:r w:rsidR="00FF1CC8"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%</w:t>
            </w: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423132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C2263" w:rsidRDefault="005803D4" w:rsidP="004C2263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Penerimaan minyak mentah</w:t>
            </w:r>
          </w:p>
          <w:p w:rsidR="00FF1CC8" w:rsidRDefault="00FF1CC8" w:rsidP="004C2263">
            <w:pPr>
              <w:spacing w:after="0" w:line="240" w:lineRule="auto"/>
              <w:ind w:left="262" w:firstLine="38"/>
              <w:rPr>
                <w:rFonts w:ascii="Cambria" w:eastAsia="Calibri" w:hAnsi="Cambria" w:cs="Times New Roman"/>
                <w:color w:val="000000"/>
                <w:lang w:val="id-ID"/>
              </w:rPr>
            </w:pP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>(</w:t>
            </w:r>
            <w:r w:rsidR="005803D4">
              <w:rPr>
                <w:rFonts w:ascii="Cambria" w:eastAsia="Calibri" w:hAnsi="Cambria" w:cs="Times New Roman"/>
                <w:color w:val="000000"/>
                <w:lang w:val="id-ID"/>
              </w:rPr>
              <w:t xml:space="preserve">selisih antara </w:t>
            </w: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 xml:space="preserve">DMO </w:t>
            </w:r>
            <w:r w:rsidRPr="005803D4">
              <w:rPr>
                <w:rFonts w:ascii="Cambria" w:eastAsia="Calibri" w:hAnsi="Cambria" w:cs="Times New Roman"/>
                <w:i/>
                <w:color w:val="000000"/>
                <w:lang w:val="id-ID"/>
              </w:rPr>
              <w:t>gross</w:t>
            </w: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 xml:space="preserve"> </w:t>
            </w:r>
            <w:r w:rsidR="005803D4">
              <w:rPr>
                <w:rFonts w:ascii="Cambria" w:eastAsia="Calibri" w:hAnsi="Cambria" w:cs="Times New Roman"/>
                <w:color w:val="000000"/>
                <w:lang w:val="id-ID"/>
              </w:rPr>
              <w:t xml:space="preserve">dan </w:t>
            </w:r>
            <w:r w:rsidR="005803D4" w:rsidRPr="005803D4">
              <w:rPr>
                <w:rFonts w:ascii="Cambria" w:eastAsia="Calibri" w:hAnsi="Cambria" w:cs="Times New Roman"/>
                <w:i/>
                <w:color w:val="000000"/>
                <w:lang w:val="id-ID"/>
              </w:rPr>
              <w:t>fee</w:t>
            </w: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>)</w:t>
            </w:r>
          </w:p>
          <w:p w:rsidR="001B055C" w:rsidRPr="00E36B5E" w:rsidRDefault="001B055C" w:rsidP="004C2263">
            <w:pPr>
              <w:spacing w:after="0" w:line="240" w:lineRule="auto"/>
              <w:ind w:left="262" w:firstLine="38"/>
              <w:rPr>
                <w:rFonts w:ascii="Cambria" w:eastAsia="Calibri" w:hAnsi="Cambria" w:cs="Times New Roman"/>
                <w:color w:val="000000"/>
                <w:lang w:val="id-ID"/>
              </w:rPr>
            </w:pP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</w:p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11.</w:t>
            </w:r>
            <w:r w:rsidRPr="004C2263"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76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</w:p>
          <w:p w:rsidR="00FF1CC8" w:rsidRPr="00A8683F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2.95%</w:t>
            </w: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423139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Default="005803D4" w:rsidP="00D06A2E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Penerimaan lainnya dari aktifitas hulu migas</w:t>
            </w:r>
            <w:r w:rsidR="00FF1CC8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 xml:space="preserve"> </w:t>
            </w:r>
          </w:p>
          <w:p w:rsidR="00FF1CC8" w:rsidRPr="00E36B5E" w:rsidRDefault="00FF1CC8" w:rsidP="004C2263">
            <w:pPr>
              <w:spacing w:after="0" w:line="240" w:lineRule="auto"/>
              <w:ind w:left="720" w:hanging="420"/>
              <w:rPr>
                <w:rFonts w:ascii="Cambria" w:eastAsia="Calibri" w:hAnsi="Cambria" w:cs="Times New Roman"/>
                <w:color w:val="000000"/>
                <w:lang w:val="id-ID"/>
              </w:rPr>
            </w:pP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>(</w:t>
            </w:r>
            <w:r w:rsidR="005803D4">
              <w:rPr>
                <w:rFonts w:ascii="Cambria" w:eastAsia="Calibri" w:hAnsi="Cambria" w:cs="Times New Roman"/>
                <w:color w:val="000000"/>
                <w:lang w:val="id-ID"/>
              </w:rPr>
              <w:t>Catatan</w:t>
            </w: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 xml:space="preserve">: </w:t>
            </w:r>
          </w:p>
          <w:p w:rsidR="00FF1CC8" w:rsidRPr="00E36B5E" w:rsidRDefault="005803D4" w:rsidP="004C2263">
            <w:pPr>
              <w:spacing w:after="0" w:line="240" w:lineRule="auto"/>
              <w:ind w:left="720" w:hanging="420"/>
              <w:rPr>
                <w:rFonts w:ascii="Cambria" w:eastAsia="Calibri" w:hAnsi="Cambria" w:cs="Times New Roman"/>
                <w:color w:val="000000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lang w:val="id-ID"/>
              </w:rPr>
              <w:t>Ini berisi paling tidak 2 item</w:t>
            </w:r>
            <w:r w:rsidR="00FF1CC8" w:rsidRPr="00E36B5E">
              <w:rPr>
                <w:rFonts w:ascii="Cambria" w:eastAsia="Calibri" w:hAnsi="Cambria" w:cs="Times New Roman"/>
                <w:color w:val="000000"/>
                <w:lang w:val="id-ID"/>
              </w:rPr>
              <w:t>:</w:t>
            </w:r>
          </w:p>
          <w:p w:rsidR="00FF1CC8" w:rsidRPr="00E36B5E" w:rsidRDefault="00FF1CC8" w:rsidP="004C2263">
            <w:pPr>
              <w:spacing w:after="0" w:line="240" w:lineRule="auto"/>
              <w:ind w:left="720" w:hanging="420"/>
              <w:rPr>
                <w:rFonts w:ascii="Cambria" w:eastAsia="Calibri" w:hAnsi="Cambria" w:cs="Times New Roman"/>
                <w:color w:val="000000"/>
                <w:lang w:val="id-ID"/>
              </w:rPr>
            </w:pP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>-</w:t>
            </w:r>
            <w:r w:rsidR="005803D4">
              <w:rPr>
                <w:rFonts w:ascii="Cambria" w:eastAsia="Calibri" w:hAnsi="Cambria" w:cs="Times New Roman"/>
                <w:color w:val="000000"/>
                <w:lang w:val="id-ID"/>
              </w:rPr>
              <w:t>bonus produksi dan pembangunan USD 0,5juta</w:t>
            </w:r>
          </w:p>
          <w:p w:rsidR="00FF1CC8" w:rsidRPr="00E36B5E" w:rsidRDefault="005803D4" w:rsidP="004C2263">
            <w:pPr>
              <w:spacing w:after="0" w:line="240" w:lineRule="auto"/>
              <w:ind w:left="720" w:hanging="420"/>
              <w:rPr>
                <w:rFonts w:ascii="Cambria" w:eastAsia="Calibri" w:hAnsi="Cambria" w:cs="Times New Roman"/>
                <w:color w:val="000000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lang w:val="id-ID"/>
              </w:rPr>
              <w:t>atau Rp 0,044T (Rp 8779/USD); dan</w:t>
            </w:r>
          </w:p>
          <w:p w:rsidR="00FF1CC8" w:rsidRDefault="00FF1CC8" w:rsidP="00D06A2E">
            <w:pPr>
              <w:spacing w:after="0" w:line="240" w:lineRule="auto"/>
              <w:ind w:left="720" w:hanging="420"/>
              <w:rPr>
                <w:rFonts w:ascii="Cambria" w:eastAsia="Calibri" w:hAnsi="Cambria" w:cs="Times New Roman"/>
                <w:color w:val="000000"/>
                <w:lang w:val="id-ID"/>
              </w:rPr>
            </w:pP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>-</w:t>
            </w:r>
            <w:r w:rsidRPr="005803D4">
              <w:rPr>
                <w:rFonts w:ascii="Cambria" w:eastAsia="Calibri" w:hAnsi="Cambria" w:cs="Times New Roman"/>
                <w:i/>
                <w:color w:val="000000"/>
                <w:lang w:val="id-ID"/>
              </w:rPr>
              <w:t>material transfer transaction</w:t>
            </w:r>
            <w:r w:rsidRPr="00E36B5E">
              <w:rPr>
                <w:rFonts w:ascii="Cambria" w:eastAsia="Calibri" w:hAnsi="Cambria" w:cs="Times New Roman"/>
                <w:color w:val="000000"/>
                <w:lang w:val="id-ID"/>
              </w:rPr>
              <w:t>)</w:t>
            </w:r>
          </w:p>
          <w:p w:rsidR="001B055C" w:rsidRPr="004C2263" w:rsidRDefault="001B055C" w:rsidP="00D06A2E">
            <w:pPr>
              <w:spacing w:after="0" w:line="240" w:lineRule="auto"/>
              <w:ind w:left="720" w:hanging="420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</w:p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0.</w:t>
            </w:r>
            <w:r w:rsidRPr="004C2263"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05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</w:p>
          <w:p w:rsidR="00FF1CC8" w:rsidRPr="00A8683F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  <w:t>0.01%</w:t>
            </w:r>
          </w:p>
        </w:tc>
      </w:tr>
      <w:tr w:rsidR="00FF1CC8" w:rsidRPr="004C2263" w:rsidTr="00272970">
        <w:trPr>
          <w:trHeight w:val="232"/>
          <w:jc w:val="center"/>
        </w:trPr>
        <w:tc>
          <w:tcPr>
            <w:tcW w:w="3894" w:type="pct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262626" w:themeFill="text1" w:themeFillTint="D9"/>
          </w:tcPr>
          <w:p w:rsidR="00FF1CC8" w:rsidRPr="00272970" w:rsidRDefault="00C8454F" w:rsidP="00F9139B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color w:val="FFFFFF" w:themeColor="background1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/>
                <w:color w:val="FFFFFF" w:themeColor="background1"/>
                <w:sz w:val="24"/>
                <w:szCs w:val="24"/>
                <w:lang w:val="id-ID"/>
              </w:rPr>
              <w:lastRenderedPageBreak/>
              <w:t>Sektor Pertambangan</w:t>
            </w:r>
          </w:p>
        </w:tc>
        <w:tc>
          <w:tcPr>
            <w:tcW w:w="505" w:type="pct"/>
            <w:tcBorders>
              <w:top w:val="double" w:sz="4" w:space="0" w:color="auto"/>
              <w:bottom w:val="single" w:sz="6" w:space="0" w:color="auto"/>
            </w:tcBorders>
            <w:shd w:val="clear" w:color="auto" w:fill="262626" w:themeFill="text1" w:themeFillTint="D9"/>
          </w:tcPr>
          <w:p w:rsidR="00FF1CC8" w:rsidRPr="00272970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</w:pPr>
            <w:r w:rsidRPr="00272970"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  <w:t>99.59</w:t>
            </w:r>
          </w:p>
        </w:tc>
        <w:tc>
          <w:tcPr>
            <w:tcW w:w="600" w:type="pct"/>
            <w:tcBorders>
              <w:top w:val="double" w:sz="4" w:space="0" w:color="auto"/>
              <w:bottom w:val="single" w:sz="6" w:space="0" w:color="auto"/>
            </w:tcBorders>
            <w:shd w:val="clear" w:color="auto" w:fill="262626" w:themeFill="text1" w:themeFillTint="D9"/>
          </w:tcPr>
          <w:p w:rsidR="00FF1CC8" w:rsidRPr="00272970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</w:pPr>
            <w:r w:rsidRPr="00272970">
              <w:rPr>
                <w:rFonts w:ascii="Cambria" w:eastAsia="Calibri" w:hAnsi="Cambria" w:cs="Times New Roman"/>
                <w:iCs/>
                <w:color w:val="FFFFFF" w:themeColor="background1"/>
                <w:sz w:val="24"/>
                <w:szCs w:val="24"/>
                <w:lang w:val="id-ID"/>
              </w:rPr>
              <w:t>24.98%</w:t>
            </w:r>
          </w:p>
        </w:tc>
      </w:tr>
      <w:tr w:rsidR="00FF1CC8" w:rsidRPr="004C2263" w:rsidTr="004459A7">
        <w:trPr>
          <w:trHeight w:val="232"/>
          <w:jc w:val="center"/>
        </w:trPr>
        <w:tc>
          <w:tcPr>
            <w:tcW w:w="3894" w:type="pct"/>
            <w:gridSpan w:val="2"/>
            <w:tcBorders>
              <w:top w:val="single" w:sz="6" w:space="0" w:color="auto"/>
              <w:bottom w:val="nil"/>
            </w:tcBorders>
            <w:shd w:val="clear" w:color="auto" w:fill="EAF1DD" w:themeFill="accent3" w:themeFillTint="33"/>
          </w:tcPr>
          <w:p w:rsidR="00FA0241" w:rsidRDefault="00FA0241" w:rsidP="00F9139B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</w:pPr>
          </w:p>
          <w:p w:rsidR="00FF1CC8" w:rsidRPr="004C2263" w:rsidRDefault="00C8454F" w:rsidP="00F9139B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  <w:t>Penerimaan Pajak</w:t>
            </w:r>
            <w:r w:rsidR="00521E28">
              <w:rPr>
                <w:rStyle w:val="FootnoteReference"/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  <w:footnoteReference w:id="7"/>
            </w:r>
          </w:p>
        </w:tc>
        <w:tc>
          <w:tcPr>
            <w:tcW w:w="505" w:type="pct"/>
            <w:tcBorders>
              <w:top w:val="single" w:sz="6" w:space="0" w:color="auto"/>
              <w:bottom w:val="nil"/>
            </w:tcBorders>
            <w:shd w:val="clear" w:color="auto" w:fill="EAF1DD" w:themeFill="accent3" w:themeFillTint="33"/>
          </w:tcPr>
          <w:p w:rsidR="00FF1CC8" w:rsidRPr="004C2263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80808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auto"/>
              <w:bottom w:val="nil"/>
            </w:tcBorders>
            <w:shd w:val="clear" w:color="auto" w:fill="EAF1DD" w:themeFill="accent3" w:themeFillTint="33"/>
          </w:tcPr>
          <w:p w:rsidR="00FF1CC8" w:rsidRPr="004C2263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color w:val="808080"/>
                <w:sz w:val="24"/>
                <w:szCs w:val="24"/>
              </w:rPr>
            </w:pPr>
          </w:p>
        </w:tc>
      </w:tr>
      <w:tr w:rsidR="00C8454F" w:rsidRPr="004C2263" w:rsidTr="00466E91">
        <w:trPr>
          <w:trHeight w:val="232"/>
          <w:jc w:val="center"/>
        </w:trPr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FF1CC8" w:rsidRPr="004C2263" w:rsidRDefault="00FF1CC8" w:rsidP="00F9139B">
            <w:pPr>
              <w:spacing w:after="0" w:line="240" w:lineRule="auto"/>
              <w:ind w:left="204"/>
              <w:rPr>
                <w:rFonts w:ascii="Cambria" w:eastAsia="Calibri" w:hAnsi="Cambria" w:cs="Times New Roman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sz w:val="24"/>
                <w:szCs w:val="24"/>
                <w:lang w:val="id-ID"/>
              </w:rPr>
              <w:t>411126</w:t>
            </w:r>
            <w:r w:rsidRPr="004C2263">
              <w:rPr>
                <w:rFonts w:ascii="Cambria" w:eastAsia="Calibri" w:hAnsi="Cambria" w:cs="Times New Roman"/>
                <w:sz w:val="24"/>
                <w:szCs w:val="24"/>
                <w:vertAlign w:val="superscript"/>
                <w:lang w:val="id-ID"/>
              </w:rPr>
              <w:footnoteReference w:id="8"/>
            </w:r>
          </w:p>
        </w:tc>
        <w:tc>
          <w:tcPr>
            <w:tcW w:w="3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</w:tcPr>
          <w:p w:rsidR="00FF1CC8" w:rsidRPr="00C85E9F" w:rsidRDefault="00C8454F" w:rsidP="00F913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val="id-ID"/>
              </w:rPr>
              <w:t xml:space="preserve">Pajak Penghasilan Non Migas </w:t>
            </w:r>
          </w:p>
          <w:p w:rsidR="00FF1CC8" w:rsidRPr="00C85E9F" w:rsidRDefault="00C8454F" w:rsidP="00C8454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val="id-ID"/>
              </w:rPr>
              <w:t>Khusu untuk KLU pertambangan dan ekstraksi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FF1CC8" w:rsidRPr="004C2263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</w:p>
          <w:p w:rsidR="00FF1CC8" w:rsidRPr="004C2263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  <w:r w:rsidRPr="004459A7">
              <w:rPr>
                <w:rFonts w:ascii="Cambria" w:eastAsia="Calibri" w:hAnsi="Cambria" w:cs="Times New Roman"/>
                <w:iCs/>
                <w:sz w:val="24"/>
                <w:szCs w:val="24"/>
              </w:rPr>
              <w:t>71</w:t>
            </w:r>
            <w:r w:rsidRPr="004459A7"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Calibri" w:hAnsi="Cambria" w:cs="Times New Roman"/>
                <w:iCs/>
                <w:sz w:val="24"/>
                <w:szCs w:val="24"/>
              </w:rPr>
              <w:t>17</w:t>
            </w:r>
            <w:r w:rsidR="00895BDB" w:rsidRPr="00C85E9F">
              <w:rPr>
                <w:rFonts w:ascii="Cambria" w:hAnsi="Cambria"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FF1CC8" w:rsidRPr="004459A7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</w:pPr>
          </w:p>
          <w:p w:rsidR="00FF1CC8" w:rsidRPr="004459A7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</w:pPr>
            <w:r w:rsidRPr="004459A7"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17.85%</w:t>
            </w:r>
          </w:p>
        </w:tc>
      </w:tr>
      <w:tr w:rsidR="00C8454F" w:rsidRPr="004C2263" w:rsidTr="00466E91">
        <w:trPr>
          <w:trHeight w:val="232"/>
          <w:jc w:val="center"/>
        </w:trPr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FF1CC8" w:rsidRPr="004C2263" w:rsidRDefault="00FF1CC8" w:rsidP="00F9139B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411315</w:t>
            </w:r>
          </w:p>
        </w:tc>
        <w:tc>
          <w:tcPr>
            <w:tcW w:w="3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</w:tcPr>
          <w:p w:rsidR="00FF1CC8" w:rsidRPr="00C8454F" w:rsidRDefault="00C8454F" w:rsidP="00F9139B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val="id-ID"/>
              </w:rPr>
              <w:t>PBB Pertambangan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FF1CC8" w:rsidRPr="004C2263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</w:rPr>
            </w:pPr>
            <w:r w:rsidRPr="004459A7">
              <w:rPr>
                <w:rFonts w:ascii="Cambria" w:eastAsia="Calibri" w:hAnsi="Cambria" w:cs="Times New Roman"/>
                <w:iCs/>
                <w:sz w:val="24"/>
                <w:szCs w:val="24"/>
              </w:rPr>
              <w:t>0</w:t>
            </w:r>
            <w:r w:rsidRPr="004459A7"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Calibri" w:hAnsi="Cambria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FF1CC8" w:rsidRPr="004459A7" w:rsidRDefault="00FF1CC8" w:rsidP="00F9139B">
            <w:pPr>
              <w:spacing w:after="0" w:line="240" w:lineRule="auto"/>
              <w:jc w:val="right"/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</w:pPr>
            <w:r w:rsidRPr="004459A7">
              <w:rPr>
                <w:rFonts w:ascii="Cambria" w:eastAsia="Calibri" w:hAnsi="Cambria" w:cs="Times New Roman"/>
                <w:iCs/>
                <w:sz w:val="24"/>
                <w:szCs w:val="24"/>
                <w:lang w:val="id-ID"/>
              </w:rPr>
              <w:t>0.10%</w:t>
            </w:r>
          </w:p>
        </w:tc>
      </w:tr>
      <w:tr w:rsidR="00FF1CC8" w:rsidRPr="004C2263" w:rsidTr="004459A7">
        <w:trPr>
          <w:jc w:val="center"/>
        </w:trPr>
        <w:tc>
          <w:tcPr>
            <w:tcW w:w="3894" w:type="pct"/>
            <w:gridSpan w:val="2"/>
            <w:tcBorders>
              <w:top w:val="single" w:sz="2" w:space="0" w:color="auto"/>
              <w:bottom w:val="nil"/>
            </w:tcBorders>
            <w:shd w:val="clear" w:color="auto" w:fill="EAF1DD" w:themeFill="accent3" w:themeFillTint="33"/>
          </w:tcPr>
          <w:p w:rsidR="00FA0241" w:rsidRDefault="00FA0241" w:rsidP="004C2263">
            <w:pPr>
              <w:spacing w:after="0" w:line="240" w:lineRule="auto"/>
              <w:ind w:left="720"/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</w:pPr>
          </w:p>
          <w:p w:rsidR="00FF1CC8" w:rsidRPr="004C2263" w:rsidRDefault="00637AD0" w:rsidP="004C2263">
            <w:pPr>
              <w:spacing w:after="0" w:line="240" w:lineRule="auto"/>
              <w:ind w:left="720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i/>
                <w:color w:val="595959"/>
                <w:sz w:val="24"/>
                <w:szCs w:val="24"/>
                <w:lang w:val="id-ID"/>
              </w:rPr>
              <w:t>Penerimaan Bukan-Pajak</w:t>
            </w:r>
          </w:p>
        </w:tc>
        <w:tc>
          <w:tcPr>
            <w:tcW w:w="505" w:type="pct"/>
            <w:tcBorders>
              <w:top w:val="single" w:sz="2" w:space="0" w:color="auto"/>
              <w:bottom w:val="nil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</w:p>
        </w:tc>
        <w:tc>
          <w:tcPr>
            <w:tcW w:w="600" w:type="pct"/>
            <w:tcBorders>
              <w:top w:val="single" w:sz="2" w:space="0" w:color="auto"/>
              <w:bottom w:val="nil"/>
            </w:tcBorders>
            <w:shd w:val="clear" w:color="auto" w:fill="EAF1DD" w:themeFill="accent3" w:themeFillTint="33"/>
          </w:tcPr>
          <w:p w:rsidR="00FF1CC8" w:rsidRPr="004459A7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  <w:lang w:val="id-ID"/>
              </w:rPr>
            </w:pP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nil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421311</w:t>
            </w:r>
          </w:p>
        </w:tc>
        <w:tc>
          <w:tcPr>
            <w:tcW w:w="3097" w:type="pct"/>
            <w:tcBorders>
              <w:top w:val="nil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C2263" w:rsidRDefault="00637AD0" w:rsidP="00637AD0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Penerimaan iuran tetap</w:t>
            </w:r>
          </w:p>
        </w:tc>
        <w:tc>
          <w:tcPr>
            <w:tcW w:w="505" w:type="pct"/>
            <w:tcBorders>
              <w:top w:val="nil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0" w:type="pct"/>
            <w:tcBorders>
              <w:top w:val="nil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A17E6B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0.07%</w:t>
            </w: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421312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C2263" w:rsidRDefault="00637AD0" w:rsidP="004C2263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Penerimaan royalti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A17E6B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4.04%</w:t>
            </w: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423113</w:t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C2263" w:rsidRDefault="00637AD0" w:rsidP="00637AD0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 xml:space="preserve">Penerimaan Penjualan Hasil Tambang </w:t>
            </w:r>
            <w:r w:rsidR="00FF1CC8"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(PHT)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A17E6B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1.97%</w:t>
            </w: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spacing w:after="0" w:line="240" w:lineRule="auto"/>
              <w:ind w:left="204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>422121</w:t>
            </w:r>
            <w:r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vertAlign w:val="superscript"/>
                <w:lang w:val="id-ID"/>
              </w:rPr>
              <w:footnoteReference w:id="10"/>
            </w:r>
          </w:p>
        </w:tc>
        <w:tc>
          <w:tcPr>
            <w:tcW w:w="3097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noWrap/>
          </w:tcPr>
          <w:p w:rsidR="00FF1CC8" w:rsidRPr="004C2263" w:rsidRDefault="00637AD0" w:rsidP="004C2263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 xml:space="preserve">Penerimaan dari laba BUMN </w:t>
            </w:r>
            <w:r w:rsidR="00FF1CC8" w:rsidRPr="004C2263"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  <w:t xml:space="preserve">non-bank </w:t>
            </w:r>
          </w:p>
          <w:p w:rsidR="006E521F" w:rsidRPr="00E36B5E" w:rsidRDefault="006E521F" w:rsidP="006E521F">
            <w:pPr>
              <w:spacing w:after="0" w:line="240" w:lineRule="auto"/>
              <w:ind w:left="600" w:hanging="284"/>
              <w:rPr>
                <w:rFonts w:ascii="Cambria" w:eastAsia="Calibri" w:hAnsi="Cambria" w:cs="Times New Roman"/>
                <w:color w:val="000000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lang w:val="id-ID"/>
              </w:rPr>
              <w:t>dalam bentuk dividen yang dibayar oleh perusahaan</w:t>
            </w:r>
          </w:p>
          <w:p w:rsidR="00FF1CC8" w:rsidRPr="00E36B5E" w:rsidRDefault="006E521F" w:rsidP="00466E91">
            <w:pPr>
              <w:spacing w:after="0" w:line="240" w:lineRule="auto"/>
              <w:ind w:left="600" w:hanging="284"/>
              <w:rPr>
                <w:rFonts w:ascii="Cambria" w:eastAsia="Calibri" w:hAnsi="Cambria" w:cs="Times New Roman"/>
                <w:color w:val="000000"/>
                <w:lang w:val="id-ID"/>
              </w:rPr>
            </w:pPr>
            <w:r>
              <w:rPr>
                <w:rFonts w:ascii="Cambria" w:eastAsia="Calibri" w:hAnsi="Cambria" w:cs="Times New Roman"/>
                <w:color w:val="000000"/>
                <w:lang w:val="id-ID"/>
              </w:rPr>
              <w:t>pertambangan</w:t>
            </w:r>
            <w:r w:rsidR="00FF1CC8" w:rsidRPr="00E36B5E">
              <w:rPr>
                <w:rFonts w:ascii="Cambria" w:eastAsia="Calibri" w:hAnsi="Cambria" w:cs="Times New Roman"/>
                <w:color w:val="000000"/>
                <w:lang w:val="id-ID"/>
              </w:rPr>
              <w:t xml:space="preserve">, </w:t>
            </w:r>
            <w:r>
              <w:rPr>
                <w:rFonts w:ascii="Cambria" w:eastAsia="Calibri" w:hAnsi="Cambria" w:cs="Times New Roman"/>
                <w:color w:val="000000"/>
                <w:lang w:val="id-ID"/>
              </w:rPr>
              <w:t>sbb</w:t>
            </w:r>
            <w:r w:rsidR="00FF1CC8" w:rsidRPr="00E36B5E">
              <w:rPr>
                <w:rFonts w:ascii="Cambria" w:eastAsia="Calibri" w:hAnsi="Cambria" w:cs="Times New Roman"/>
                <w:color w:val="000000"/>
                <w:lang w:val="id-ID"/>
              </w:rPr>
              <w:t>:</w:t>
            </w:r>
          </w:p>
          <w:tbl>
            <w:tblPr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780"/>
              <w:gridCol w:w="1487"/>
              <w:gridCol w:w="1211"/>
            </w:tblGrid>
            <w:tr w:rsidR="00495EB7" w:rsidRPr="00E36B5E" w:rsidTr="00B465E8">
              <w:tc>
                <w:tcPr>
                  <w:tcW w:w="2844" w:type="dxa"/>
                  <w:shd w:val="clear" w:color="auto" w:fill="auto"/>
                </w:tcPr>
                <w:p w:rsidR="00FF1CC8" w:rsidRPr="00E36B5E" w:rsidRDefault="006E521F" w:rsidP="00F9139B">
                  <w:pPr>
                    <w:spacing w:after="0" w:line="240" w:lineRule="auto"/>
                    <w:contextualSpacing/>
                    <w:jc w:val="center"/>
                    <w:rPr>
                      <w:rFonts w:ascii="Cambria" w:eastAsia="Calibri" w:hAnsi="Cambria" w:cs="Times New Roman"/>
                      <w:lang w:val="id-ID"/>
                    </w:rPr>
                  </w:pPr>
                  <w:r>
                    <w:rPr>
                      <w:rFonts w:ascii="Cambria" w:eastAsia="Calibri" w:hAnsi="Cambria" w:cs="Times New Roman"/>
                      <w:lang w:val="id-ID"/>
                    </w:rPr>
                    <w:t>Perusahaan</w:t>
                  </w:r>
                </w:p>
              </w:tc>
              <w:tc>
                <w:tcPr>
                  <w:tcW w:w="1494" w:type="dxa"/>
                  <w:shd w:val="clear" w:color="auto" w:fill="auto"/>
                </w:tcPr>
                <w:p w:rsidR="00FF1CC8" w:rsidRPr="00E36B5E" w:rsidRDefault="006E521F" w:rsidP="00F9139B">
                  <w:pPr>
                    <w:spacing w:after="0" w:line="240" w:lineRule="auto"/>
                    <w:contextualSpacing/>
                    <w:jc w:val="center"/>
                    <w:rPr>
                      <w:rFonts w:ascii="Cambria" w:eastAsia="Calibri" w:hAnsi="Cambria" w:cs="Times New Roman"/>
                      <w:lang w:val="id-ID"/>
                    </w:rPr>
                  </w:pPr>
                  <w:r>
                    <w:rPr>
                      <w:rFonts w:ascii="Cambria" w:eastAsia="Calibri" w:hAnsi="Cambria" w:cs="Times New Roman"/>
                      <w:lang w:val="id-ID"/>
                    </w:rPr>
                    <w:t>Saham Pemerintah</w:t>
                  </w:r>
                </w:p>
              </w:tc>
              <w:tc>
                <w:tcPr>
                  <w:tcW w:w="1222" w:type="dxa"/>
                  <w:shd w:val="clear" w:color="auto" w:fill="auto"/>
                </w:tcPr>
                <w:p w:rsidR="00FF1CC8" w:rsidRPr="00E36B5E" w:rsidRDefault="006E521F" w:rsidP="00F9139B">
                  <w:pPr>
                    <w:spacing w:after="0" w:line="240" w:lineRule="auto"/>
                    <w:contextualSpacing/>
                    <w:jc w:val="center"/>
                    <w:rPr>
                      <w:rFonts w:ascii="Cambria" w:eastAsia="Calibri" w:hAnsi="Cambria" w:cs="Times New Roman"/>
                      <w:lang w:val="id-ID"/>
                    </w:rPr>
                  </w:pPr>
                  <w:r>
                    <w:rPr>
                      <w:rFonts w:ascii="Cambria" w:eastAsia="Calibri" w:hAnsi="Cambria" w:cs="Times New Roman"/>
                      <w:lang w:val="id-ID"/>
                    </w:rPr>
                    <w:t>Dividen</w:t>
                  </w:r>
                </w:p>
              </w:tc>
            </w:tr>
            <w:tr w:rsidR="00495EB7" w:rsidRPr="00E36B5E" w:rsidTr="00B465E8">
              <w:tc>
                <w:tcPr>
                  <w:tcW w:w="284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both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PT. Aneka Tambang</w:t>
                  </w:r>
                </w:p>
              </w:tc>
              <w:tc>
                <w:tcPr>
                  <w:tcW w:w="149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center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65%</w:t>
                  </w:r>
                </w:p>
              </w:tc>
              <w:tc>
                <w:tcPr>
                  <w:tcW w:w="1222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right"/>
                    <w:rPr>
                      <w:rFonts w:ascii="Cambria" w:eastAsia="Calibri" w:hAnsi="Cambria" w:cs="Times New Roman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0.44</w:t>
                  </w:r>
                </w:p>
              </w:tc>
            </w:tr>
            <w:tr w:rsidR="00495EB7" w:rsidRPr="00E36B5E" w:rsidTr="00B465E8">
              <w:tc>
                <w:tcPr>
                  <w:tcW w:w="284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both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PT. Bukit Asam</w:t>
                  </w:r>
                </w:p>
              </w:tc>
              <w:tc>
                <w:tcPr>
                  <w:tcW w:w="149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center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65%</w:t>
                  </w:r>
                </w:p>
              </w:tc>
              <w:tc>
                <w:tcPr>
                  <w:tcW w:w="1222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right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0.84</w:t>
                  </w:r>
                </w:p>
              </w:tc>
            </w:tr>
            <w:tr w:rsidR="00495EB7" w:rsidRPr="00E36B5E" w:rsidTr="00B465E8">
              <w:tc>
                <w:tcPr>
                  <w:tcW w:w="284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both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PT. Timah</w:t>
                  </w:r>
                </w:p>
              </w:tc>
              <w:tc>
                <w:tcPr>
                  <w:tcW w:w="149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center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65%</w:t>
                  </w:r>
                </w:p>
              </w:tc>
              <w:tc>
                <w:tcPr>
                  <w:tcW w:w="1222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right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0.31</w:t>
                  </w:r>
                </w:p>
              </w:tc>
            </w:tr>
            <w:tr w:rsidR="00495EB7" w:rsidRPr="00E36B5E" w:rsidTr="00B465E8">
              <w:tc>
                <w:tcPr>
                  <w:tcW w:w="284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both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 xml:space="preserve">PT. Freeport Indonesia </w:t>
                  </w:r>
                </w:p>
              </w:tc>
              <w:tc>
                <w:tcPr>
                  <w:tcW w:w="1494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center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9,36%</w:t>
                  </w:r>
                </w:p>
              </w:tc>
              <w:tc>
                <w:tcPr>
                  <w:tcW w:w="1222" w:type="dxa"/>
                  <w:shd w:val="clear" w:color="auto" w:fill="auto"/>
                </w:tcPr>
                <w:p w:rsidR="00FF1CC8" w:rsidRPr="00E36B5E" w:rsidRDefault="00FF1CC8" w:rsidP="00F9139B">
                  <w:pPr>
                    <w:spacing w:after="0" w:line="240" w:lineRule="auto"/>
                    <w:contextualSpacing/>
                    <w:jc w:val="right"/>
                    <w:rPr>
                      <w:rFonts w:ascii="Cambria" w:eastAsia="Calibri" w:hAnsi="Cambria" w:cs="Times New Roman"/>
                      <w:lang w:val="id-ID"/>
                    </w:rPr>
                  </w:pPr>
                  <w:r w:rsidRPr="00E36B5E">
                    <w:rPr>
                      <w:rFonts w:ascii="Cambria" w:eastAsia="Calibri" w:hAnsi="Cambria" w:cs="Times New Roman"/>
                      <w:lang w:val="id-ID"/>
                    </w:rPr>
                    <w:t>1.76</w:t>
                  </w:r>
                </w:p>
              </w:tc>
              <w:bookmarkStart w:id="0" w:name="_GoBack"/>
              <w:bookmarkEnd w:id="0"/>
            </w:tr>
          </w:tbl>
          <w:p w:rsidR="00FF1CC8" w:rsidRPr="004C2263" w:rsidRDefault="00FF1CC8" w:rsidP="00B465E8">
            <w:pPr>
              <w:spacing w:after="0" w:line="240" w:lineRule="auto"/>
              <w:rPr>
                <w:rFonts w:ascii="Cambria" w:eastAsia="Calibri" w:hAnsi="Cambria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.</w:t>
            </w:r>
            <w:r w:rsidRPr="004C226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35</w:t>
            </w:r>
          </w:p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Pr="004C2263" w:rsidRDefault="00FF1CC8" w:rsidP="00E36B5E">
            <w:pPr>
              <w:tabs>
                <w:tab w:val="decimal" w:pos="360"/>
              </w:tabs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600" w:type="pct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</w:p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0.84%</w:t>
            </w:r>
          </w:p>
        </w:tc>
      </w:tr>
      <w:tr w:rsidR="00C8454F" w:rsidRPr="004C2263" w:rsidTr="00466E91">
        <w:trPr>
          <w:jc w:val="center"/>
        </w:trPr>
        <w:tc>
          <w:tcPr>
            <w:tcW w:w="797" w:type="pct"/>
            <w:tcBorders>
              <w:top w:val="single" w:sz="2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FF1CC8" w:rsidRPr="00540C93" w:rsidRDefault="00FF1CC8" w:rsidP="00F913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  <w:lang w:val="id-ID" w:eastAsia="en-GB"/>
              </w:rPr>
            </w:pPr>
            <w:r w:rsidRPr="00540C93">
              <w:rPr>
                <w:rFonts w:ascii="Cambria" w:hAnsi="Cambria"/>
                <w:sz w:val="24"/>
                <w:szCs w:val="24"/>
                <w:lang w:val="id-ID" w:eastAsia="en-GB"/>
              </w:rPr>
              <w:t>421441</w:t>
            </w:r>
            <w:r w:rsidRPr="00540C93">
              <w:rPr>
                <w:rFonts w:ascii="Cambria" w:hAnsi="Cambria"/>
                <w:sz w:val="24"/>
                <w:szCs w:val="24"/>
                <w:vertAlign w:val="superscript"/>
                <w:lang w:val="id-ID" w:eastAsia="en-GB"/>
              </w:rPr>
              <w:footnoteReference w:id="11"/>
            </w:r>
          </w:p>
        </w:tc>
        <w:tc>
          <w:tcPr>
            <w:tcW w:w="3097" w:type="pct"/>
            <w:tcBorders>
              <w:top w:val="single" w:sz="2" w:space="0" w:color="auto"/>
              <w:bottom w:val="double" w:sz="4" w:space="0" w:color="auto"/>
            </w:tcBorders>
            <w:shd w:val="clear" w:color="auto" w:fill="EAF1DD" w:themeFill="accent3" w:themeFillTint="33"/>
            <w:noWrap/>
          </w:tcPr>
          <w:p w:rsidR="00495EB7" w:rsidRDefault="00495EB7" w:rsidP="00F913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  <w:lang w:val="id-ID" w:eastAsia="en-GB"/>
              </w:rPr>
            </w:pPr>
            <w:r>
              <w:rPr>
                <w:rFonts w:ascii="Cambria" w:hAnsi="Cambria"/>
                <w:sz w:val="24"/>
                <w:szCs w:val="24"/>
                <w:lang w:val="id-ID" w:eastAsia="en-GB"/>
              </w:rPr>
              <w:t>Penerimaan dari Penggunaan Kawasan Hutan untuk</w:t>
            </w:r>
          </w:p>
          <w:p w:rsidR="00495278" w:rsidRPr="00540C93" w:rsidRDefault="00FF1CC8" w:rsidP="00495EB7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  <w:lang w:val="id-ID" w:eastAsia="en-GB"/>
              </w:rPr>
            </w:pPr>
            <w:r w:rsidRPr="00540C93">
              <w:rPr>
                <w:rFonts w:ascii="Cambria" w:hAnsi="Cambria"/>
                <w:sz w:val="24"/>
                <w:szCs w:val="24"/>
                <w:lang w:val="id-ID" w:eastAsia="en-GB"/>
              </w:rPr>
              <w:t xml:space="preserve"> </w:t>
            </w:r>
            <w:r w:rsidR="00495EB7">
              <w:rPr>
                <w:rFonts w:ascii="Cambria" w:hAnsi="Cambria"/>
                <w:sz w:val="24"/>
                <w:szCs w:val="24"/>
                <w:lang w:val="id-ID" w:eastAsia="en-GB"/>
              </w:rPr>
              <w:t>tujuan selain hutan</w:t>
            </w:r>
          </w:p>
        </w:tc>
        <w:tc>
          <w:tcPr>
            <w:tcW w:w="505" w:type="pct"/>
            <w:tcBorders>
              <w:top w:val="single" w:sz="2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0.</w:t>
            </w:r>
            <w:r w:rsidRPr="00540C9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43</w:t>
            </w:r>
          </w:p>
        </w:tc>
        <w:tc>
          <w:tcPr>
            <w:tcW w:w="600" w:type="pct"/>
            <w:tcBorders>
              <w:top w:val="single" w:sz="2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FF1CC8" w:rsidRPr="004C2263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id-ID"/>
              </w:rPr>
              <w:t>0.11%</w:t>
            </w:r>
          </w:p>
        </w:tc>
      </w:tr>
      <w:tr w:rsidR="00FF1CC8" w:rsidRPr="004C2263" w:rsidTr="00CE4875">
        <w:trPr>
          <w:jc w:val="center"/>
        </w:trPr>
        <w:tc>
          <w:tcPr>
            <w:tcW w:w="389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262626" w:themeFill="text1" w:themeFillTint="D9"/>
          </w:tcPr>
          <w:p w:rsidR="00FF1CC8" w:rsidRPr="00CE4875" w:rsidRDefault="00FF1CC8" w:rsidP="00495EB7">
            <w:pPr>
              <w:spacing w:after="0" w:line="240" w:lineRule="auto"/>
              <w:ind w:left="720"/>
              <w:rPr>
                <w:rFonts w:ascii="Cambria" w:eastAsia="Calibri" w:hAnsi="Cambria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CE4875">
              <w:rPr>
                <w:rFonts w:ascii="Cambria" w:eastAsia="Calibri" w:hAnsi="Cambria" w:cs="Times New Roman"/>
                <w:color w:val="FFFFFF" w:themeColor="background1"/>
                <w:sz w:val="24"/>
                <w:szCs w:val="24"/>
                <w:lang w:val="id-ID"/>
              </w:rPr>
              <w:t xml:space="preserve">Total </w:t>
            </w:r>
            <w:r w:rsidR="006A1E0B">
              <w:rPr>
                <w:rFonts w:ascii="Cambria" w:eastAsia="Calibri" w:hAnsi="Cambria" w:cs="Times New Roman"/>
                <w:color w:val="FFFFFF" w:themeColor="background1"/>
                <w:sz w:val="24"/>
                <w:szCs w:val="24"/>
                <w:lang w:val="id-ID"/>
              </w:rPr>
              <w:t xml:space="preserve">dari sektor minyak dan </w:t>
            </w:r>
            <w:r w:rsidR="00495EB7">
              <w:rPr>
                <w:rFonts w:ascii="Cambria" w:eastAsia="Calibri" w:hAnsi="Cambria" w:cs="Times New Roman"/>
                <w:color w:val="FFFFFF" w:themeColor="background1"/>
                <w:sz w:val="24"/>
                <w:szCs w:val="24"/>
                <w:lang w:val="id-ID"/>
              </w:rPr>
              <w:t>gas</w:t>
            </w:r>
            <w:r w:rsidR="006A1E0B">
              <w:rPr>
                <w:rFonts w:ascii="Cambria" w:eastAsia="Calibri" w:hAnsi="Cambria" w:cs="Times New Roman"/>
                <w:color w:val="FFFFFF" w:themeColor="background1"/>
                <w:sz w:val="24"/>
                <w:szCs w:val="24"/>
                <w:lang w:val="id-ID"/>
              </w:rPr>
              <w:t xml:space="preserve"> bumi</w:t>
            </w:r>
            <w:r w:rsidR="00495EB7">
              <w:rPr>
                <w:rFonts w:ascii="Cambria" w:eastAsia="Calibri" w:hAnsi="Cambria" w:cs="Times New Roman"/>
                <w:color w:val="FFFFFF" w:themeColor="background1"/>
                <w:sz w:val="24"/>
                <w:szCs w:val="24"/>
                <w:lang w:val="id-ID"/>
              </w:rPr>
              <w:t>, dan pertambangan</w:t>
            </w:r>
          </w:p>
        </w:tc>
        <w:tc>
          <w:tcPr>
            <w:tcW w:w="505" w:type="pct"/>
            <w:tcBorders>
              <w:top w:val="double" w:sz="4" w:space="0" w:color="auto"/>
              <w:bottom w:val="double" w:sz="4" w:space="0" w:color="auto"/>
            </w:tcBorders>
            <w:shd w:val="clear" w:color="auto" w:fill="262626" w:themeFill="text1" w:themeFillTint="D9"/>
          </w:tcPr>
          <w:p w:rsidR="00FF1CC8" w:rsidRPr="00CE4875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CE4875">
              <w:rPr>
                <w:rFonts w:ascii="Cambria" w:eastAsia="Times New Roman" w:hAnsi="Cambria" w:cs="Times New Roman"/>
                <w:color w:val="FFFFFF" w:themeColor="background1"/>
                <w:sz w:val="24"/>
                <w:szCs w:val="24"/>
                <w:lang w:val="id-ID"/>
              </w:rPr>
              <w:t>389.61</w:t>
            </w:r>
          </w:p>
        </w:tc>
        <w:tc>
          <w:tcPr>
            <w:tcW w:w="600" w:type="pct"/>
            <w:tcBorders>
              <w:top w:val="double" w:sz="4" w:space="0" w:color="auto"/>
              <w:bottom w:val="double" w:sz="4" w:space="0" w:color="auto"/>
            </w:tcBorders>
            <w:shd w:val="clear" w:color="auto" w:fill="262626" w:themeFill="text1" w:themeFillTint="D9"/>
          </w:tcPr>
          <w:p w:rsidR="00FF1CC8" w:rsidRPr="00CE4875" w:rsidRDefault="00FF1CC8" w:rsidP="004C2263">
            <w:pPr>
              <w:tabs>
                <w:tab w:val="decimal" w:pos="360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CE4875">
              <w:rPr>
                <w:rFonts w:ascii="Cambria" w:eastAsia="Times New Roman" w:hAnsi="Cambria" w:cs="Times New Roman"/>
                <w:color w:val="FFFFFF" w:themeColor="background1"/>
                <w:sz w:val="24"/>
                <w:szCs w:val="24"/>
                <w:lang w:val="id-ID"/>
              </w:rPr>
              <w:t>100%</w:t>
            </w:r>
          </w:p>
        </w:tc>
      </w:tr>
    </w:tbl>
    <w:p w:rsidR="004C2263" w:rsidRPr="004C2263" w:rsidRDefault="004C2263" w:rsidP="00CB31B0">
      <w:pPr>
        <w:rPr>
          <w:lang w:val="id-ID"/>
        </w:rPr>
      </w:pPr>
    </w:p>
    <w:sectPr w:rsidR="004C2263" w:rsidRPr="004C22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680" w:rsidRDefault="003E5680" w:rsidP="004C2263">
      <w:pPr>
        <w:spacing w:after="0" w:line="240" w:lineRule="auto"/>
      </w:pPr>
      <w:r>
        <w:separator/>
      </w:r>
    </w:p>
  </w:endnote>
  <w:endnote w:type="continuationSeparator" w:id="0">
    <w:p w:rsidR="003E5680" w:rsidRDefault="003E5680" w:rsidP="004C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680" w:rsidRDefault="003E5680" w:rsidP="004C2263">
      <w:pPr>
        <w:spacing w:after="0" w:line="240" w:lineRule="auto"/>
      </w:pPr>
      <w:r>
        <w:separator/>
      </w:r>
    </w:p>
  </w:footnote>
  <w:footnote w:type="continuationSeparator" w:id="0">
    <w:p w:rsidR="003E5680" w:rsidRDefault="003E5680" w:rsidP="004C2263">
      <w:pPr>
        <w:spacing w:after="0" w:line="240" w:lineRule="auto"/>
      </w:pPr>
      <w:r>
        <w:continuationSeparator/>
      </w:r>
    </w:p>
  </w:footnote>
  <w:footnote w:id="1">
    <w:p w:rsidR="00466E91" w:rsidRPr="00707F85" w:rsidRDefault="00466E91" w:rsidP="00466E91">
      <w:pPr>
        <w:pStyle w:val="FootnoteText"/>
        <w:rPr>
          <w:rFonts w:asciiTheme="majorHAnsi" w:hAnsiTheme="majorHAnsi"/>
          <w:lang w:val="id-ID"/>
        </w:rPr>
      </w:pPr>
      <w:r w:rsidRPr="00E07D94">
        <w:rPr>
          <w:rStyle w:val="FootnoteReference"/>
          <w:rFonts w:ascii="Cambria" w:hAnsi="Cambria"/>
        </w:rPr>
        <w:footnoteRef/>
      </w:r>
      <w:r w:rsidRPr="00E07D94">
        <w:rPr>
          <w:rFonts w:ascii="Cambria" w:hAnsi="Cambria"/>
        </w:rPr>
        <w:t xml:space="preserve"> </w:t>
      </w:r>
      <w:r w:rsidR="00936DBB">
        <w:rPr>
          <w:rFonts w:asciiTheme="majorHAnsi" w:hAnsiTheme="majorHAnsi"/>
          <w:lang w:val="id-ID"/>
        </w:rPr>
        <w:t xml:space="preserve">Semua angka berasal dari </w:t>
      </w:r>
      <w:r w:rsidRPr="00707F85">
        <w:rPr>
          <w:rFonts w:asciiTheme="majorHAnsi" w:hAnsiTheme="majorHAnsi"/>
          <w:lang w:val="id-ID"/>
        </w:rPr>
        <w:t xml:space="preserve">LKPP 2011, </w:t>
      </w:r>
      <w:r w:rsidR="00936DBB">
        <w:rPr>
          <w:rFonts w:asciiTheme="majorHAnsi" w:hAnsiTheme="majorHAnsi"/>
          <w:lang w:val="id-ID"/>
        </w:rPr>
        <w:t xml:space="preserve">kecuali disebutkan lain. </w:t>
      </w:r>
    </w:p>
  </w:footnote>
  <w:footnote w:id="2">
    <w:p w:rsidR="004C2263" w:rsidRPr="00707F85" w:rsidRDefault="004C2263" w:rsidP="004C2263">
      <w:pPr>
        <w:pStyle w:val="FootnoteText"/>
        <w:rPr>
          <w:rFonts w:asciiTheme="majorHAnsi" w:hAnsiTheme="majorHAnsi"/>
          <w:lang w:val="id-ID"/>
        </w:rPr>
      </w:pPr>
      <w:r w:rsidRPr="00707F85">
        <w:rPr>
          <w:rStyle w:val="FootnoteReference"/>
          <w:rFonts w:asciiTheme="majorHAnsi" w:hAnsiTheme="majorHAnsi"/>
        </w:rPr>
        <w:footnoteRef/>
      </w:r>
      <w:r w:rsidRPr="00707F85">
        <w:rPr>
          <w:rFonts w:asciiTheme="majorHAnsi" w:hAnsiTheme="majorHAnsi"/>
        </w:rPr>
        <w:t xml:space="preserve"> </w:t>
      </w:r>
      <w:r w:rsidR="00936DBB">
        <w:rPr>
          <w:rFonts w:asciiTheme="majorHAnsi" w:hAnsiTheme="majorHAnsi"/>
          <w:lang w:val="id-ID"/>
        </w:rPr>
        <w:t xml:space="preserve">Kode akun sesuai dengan </w:t>
      </w:r>
      <w:r w:rsidRPr="00707F85">
        <w:rPr>
          <w:rFonts w:asciiTheme="majorHAnsi" w:hAnsiTheme="majorHAnsi"/>
          <w:lang w:val="id-ID"/>
        </w:rPr>
        <w:t>LKPP 2011</w:t>
      </w:r>
    </w:p>
  </w:footnote>
  <w:footnote w:id="3">
    <w:p w:rsidR="00C87A1C" w:rsidRPr="003E0181" w:rsidRDefault="00707F85" w:rsidP="003E0181">
      <w:pPr>
        <w:pStyle w:val="FootnoteText"/>
        <w:ind w:left="142" w:hanging="142"/>
        <w:contextualSpacing/>
        <w:jc w:val="both"/>
        <w:rPr>
          <w:rFonts w:asciiTheme="majorHAnsi" w:hAnsiTheme="majorHAnsi"/>
          <w:lang w:val="id-ID"/>
        </w:rPr>
      </w:pPr>
      <w:r w:rsidRPr="00707F85">
        <w:rPr>
          <w:rStyle w:val="FootnoteReference"/>
          <w:rFonts w:asciiTheme="majorHAnsi" w:hAnsiTheme="majorHAnsi"/>
        </w:rPr>
        <w:footnoteRef/>
      </w:r>
      <w:r w:rsidRPr="00707F85">
        <w:rPr>
          <w:rFonts w:asciiTheme="majorHAnsi" w:hAnsiTheme="majorHAnsi"/>
        </w:rPr>
        <w:t xml:space="preserve"> </w:t>
      </w:r>
      <w:r w:rsidR="004E011A">
        <w:rPr>
          <w:rFonts w:asciiTheme="majorHAnsi" w:hAnsiTheme="majorHAnsi"/>
          <w:lang w:val="id-ID"/>
        </w:rPr>
        <w:t xml:space="preserve">Ini tidak termasuk dividen yang dibayar oleh BUMN migas, </w:t>
      </w:r>
      <w:r w:rsidR="009F59AE">
        <w:rPr>
          <w:rFonts w:asciiTheme="majorHAnsi" w:hAnsiTheme="majorHAnsi"/>
          <w:lang w:val="id-ID"/>
        </w:rPr>
        <w:t>Pertamina (holding),</w:t>
      </w:r>
      <w:r w:rsidR="003500E0">
        <w:rPr>
          <w:rFonts w:asciiTheme="majorHAnsi" w:hAnsiTheme="majorHAnsi"/>
          <w:lang w:val="id-ID"/>
        </w:rPr>
        <w:t xml:space="preserve"> karena banyak dari aktifitas bisnisnya tidak terkait pada hulu migas; </w:t>
      </w:r>
      <w:r w:rsidR="009F59AE">
        <w:rPr>
          <w:rFonts w:asciiTheme="majorHAnsi" w:hAnsiTheme="majorHAnsi"/>
          <w:lang w:val="id-ID"/>
        </w:rPr>
        <w:t xml:space="preserve"> </w:t>
      </w:r>
      <w:r w:rsidR="003500E0">
        <w:rPr>
          <w:rFonts w:asciiTheme="majorHAnsi" w:hAnsiTheme="majorHAnsi"/>
          <w:lang w:val="id-ID"/>
        </w:rPr>
        <w:t xml:space="preserve">tidak termasuk </w:t>
      </w:r>
      <w:r w:rsidR="00196559" w:rsidRPr="003500E0">
        <w:rPr>
          <w:rFonts w:asciiTheme="majorHAnsi" w:hAnsiTheme="majorHAnsi"/>
          <w:i/>
          <w:lang w:val="id-ID"/>
        </w:rPr>
        <w:t>performance bond</w:t>
      </w:r>
      <w:r w:rsidR="003500E0">
        <w:rPr>
          <w:rFonts w:asciiTheme="majorHAnsi" w:hAnsiTheme="majorHAnsi"/>
          <w:lang w:val="id-ID"/>
        </w:rPr>
        <w:t xml:space="preserve"> yang tidak dikembalikan dan </w:t>
      </w:r>
      <w:r w:rsidR="00196559" w:rsidRPr="003500E0">
        <w:rPr>
          <w:rFonts w:asciiTheme="majorHAnsi" w:hAnsiTheme="majorHAnsi"/>
          <w:i/>
          <w:lang w:val="id-ID"/>
        </w:rPr>
        <w:t>general working advance fund</w:t>
      </w:r>
      <w:r w:rsidR="00196559" w:rsidRPr="00495278">
        <w:rPr>
          <w:rFonts w:asciiTheme="majorHAnsi" w:hAnsiTheme="majorHAnsi"/>
          <w:lang w:val="id-ID"/>
        </w:rPr>
        <w:t xml:space="preserve">, </w:t>
      </w:r>
      <w:r w:rsidR="00306899">
        <w:rPr>
          <w:rFonts w:asciiTheme="majorHAnsi" w:hAnsiTheme="majorHAnsi"/>
          <w:lang w:val="id-ID"/>
        </w:rPr>
        <w:t xml:space="preserve">karena tidak tercantum dalam </w:t>
      </w:r>
      <w:r w:rsidR="00C87A1C" w:rsidRPr="00495278">
        <w:rPr>
          <w:rFonts w:asciiTheme="majorHAnsi" w:hAnsiTheme="majorHAnsi"/>
          <w:lang w:val="id-ID"/>
        </w:rPr>
        <w:t>LKPP 20</w:t>
      </w:r>
      <w:r w:rsidR="00196559" w:rsidRPr="00495278">
        <w:rPr>
          <w:rFonts w:asciiTheme="majorHAnsi" w:hAnsiTheme="majorHAnsi"/>
          <w:lang w:val="id-ID"/>
        </w:rPr>
        <w:t xml:space="preserve">11 </w:t>
      </w:r>
      <w:r w:rsidR="00306899">
        <w:rPr>
          <w:rFonts w:asciiTheme="majorHAnsi" w:hAnsiTheme="majorHAnsi"/>
          <w:lang w:val="id-ID"/>
        </w:rPr>
        <w:t>dan informasi ini sangat terbatas</w:t>
      </w:r>
      <w:r w:rsidR="00614D4E" w:rsidRPr="00495278">
        <w:rPr>
          <w:rFonts w:asciiTheme="majorHAnsi" w:hAnsiTheme="majorHAnsi"/>
          <w:lang w:val="id-ID"/>
        </w:rPr>
        <w:t xml:space="preserve">; </w:t>
      </w:r>
      <w:r w:rsidR="00306899">
        <w:rPr>
          <w:rFonts w:asciiTheme="majorHAnsi" w:hAnsiTheme="majorHAnsi"/>
          <w:lang w:val="id-ID"/>
        </w:rPr>
        <w:t xml:space="preserve">dan tidak termasuk </w:t>
      </w:r>
      <w:r w:rsidR="00306899" w:rsidRPr="00306899">
        <w:rPr>
          <w:rFonts w:asciiTheme="majorHAnsi" w:hAnsiTheme="majorHAnsi"/>
          <w:i/>
          <w:lang w:val="id-ID"/>
        </w:rPr>
        <w:t>fee</w:t>
      </w:r>
      <w:r w:rsidR="00306899">
        <w:rPr>
          <w:rFonts w:asciiTheme="majorHAnsi" w:hAnsiTheme="majorHAnsi"/>
          <w:lang w:val="id-ID"/>
        </w:rPr>
        <w:t xml:space="preserve"> atas expatriat</w:t>
      </w:r>
      <w:r w:rsidR="003A456A">
        <w:rPr>
          <w:rFonts w:asciiTheme="majorHAnsi" w:hAnsiTheme="majorHAnsi"/>
          <w:lang w:val="id-ID"/>
        </w:rPr>
        <w:t xml:space="preserve"> dan </w:t>
      </w:r>
      <w:r w:rsidR="00526DA8" w:rsidRPr="00495278">
        <w:rPr>
          <w:rFonts w:asciiTheme="majorHAnsi" w:hAnsiTheme="majorHAnsi"/>
          <w:lang w:val="id-ID"/>
        </w:rPr>
        <w:t xml:space="preserve">training </w:t>
      </w:r>
      <w:r w:rsidR="003A456A">
        <w:rPr>
          <w:rFonts w:asciiTheme="majorHAnsi" w:hAnsiTheme="majorHAnsi"/>
          <w:lang w:val="id-ID"/>
        </w:rPr>
        <w:t xml:space="preserve">untuk pegawai Indonesia </w:t>
      </w:r>
      <w:r w:rsidR="00495278" w:rsidRPr="003E0181">
        <w:rPr>
          <w:rFonts w:asciiTheme="majorHAnsi" w:hAnsiTheme="majorHAnsi"/>
          <w:lang w:val="id-ID"/>
        </w:rPr>
        <w:t>(IWPL)</w:t>
      </w:r>
      <w:r w:rsidR="00E12B43" w:rsidRPr="003E0181">
        <w:rPr>
          <w:rFonts w:asciiTheme="majorHAnsi" w:hAnsiTheme="majorHAnsi"/>
          <w:lang w:val="id-ID"/>
        </w:rPr>
        <w:t xml:space="preserve">, </w:t>
      </w:r>
      <w:r w:rsidR="003A456A">
        <w:rPr>
          <w:rFonts w:asciiTheme="majorHAnsi" w:hAnsiTheme="majorHAnsi"/>
          <w:lang w:val="id-ID"/>
        </w:rPr>
        <w:t xml:space="preserve">karena mungkin ini di-reimburse sebagai </w:t>
      </w:r>
      <w:r w:rsidR="00E12B43" w:rsidRPr="003A456A">
        <w:rPr>
          <w:rFonts w:asciiTheme="majorHAnsi" w:hAnsiTheme="majorHAnsi"/>
          <w:i/>
          <w:lang w:val="id-ID"/>
        </w:rPr>
        <w:t>cost recovery</w:t>
      </w:r>
      <w:r w:rsidR="00E12B43" w:rsidRPr="003E0181">
        <w:rPr>
          <w:rFonts w:asciiTheme="majorHAnsi" w:hAnsiTheme="majorHAnsi"/>
          <w:lang w:val="id-ID"/>
        </w:rPr>
        <w:t xml:space="preserve">; </w:t>
      </w:r>
      <w:r w:rsidR="00F84916">
        <w:rPr>
          <w:rFonts w:asciiTheme="majorHAnsi" w:hAnsiTheme="majorHAnsi"/>
          <w:lang w:val="id-ID"/>
        </w:rPr>
        <w:t xml:space="preserve">tidak termasuk bonus </w:t>
      </w:r>
      <w:r w:rsidR="00E12B43" w:rsidRPr="00F84916">
        <w:rPr>
          <w:rFonts w:asciiTheme="majorHAnsi" w:hAnsiTheme="majorHAnsi"/>
          <w:i/>
          <w:lang w:val="id-ID"/>
        </w:rPr>
        <w:t>equipment service</w:t>
      </w:r>
      <w:r w:rsidR="00E12B43" w:rsidRPr="003E0181">
        <w:rPr>
          <w:rFonts w:asciiTheme="majorHAnsi" w:hAnsiTheme="majorHAnsi"/>
          <w:lang w:val="id-ID"/>
        </w:rPr>
        <w:t xml:space="preserve">, </w:t>
      </w:r>
      <w:r w:rsidR="00F84916" w:rsidRPr="00F84916">
        <w:rPr>
          <w:rFonts w:asciiTheme="majorHAnsi" w:hAnsiTheme="majorHAnsi"/>
          <w:i/>
          <w:lang w:val="id-ID"/>
        </w:rPr>
        <w:t>fee</w:t>
      </w:r>
      <w:r w:rsidR="00F84916">
        <w:rPr>
          <w:rFonts w:asciiTheme="majorHAnsi" w:hAnsiTheme="majorHAnsi"/>
          <w:lang w:val="id-ID"/>
        </w:rPr>
        <w:t xml:space="preserve"> </w:t>
      </w:r>
      <w:r w:rsidR="00E12B43" w:rsidRPr="003E0181">
        <w:rPr>
          <w:rFonts w:asciiTheme="majorHAnsi" w:hAnsiTheme="majorHAnsi"/>
          <w:lang w:val="id-ID"/>
        </w:rPr>
        <w:t xml:space="preserve">data, </w:t>
      </w:r>
      <w:r w:rsidR="00980189">
        <w:rPr>
          <w:rFonts w:asciiTheme="majorHAnsi" w:hAnsiTheme="majorHAnsi"/>
          <w:lang w:val="id-ID"/>
        </w:rPr>
        <w:t xml:space="preserve">dan </w:t>
      </w:r>
      <w:r w:rsidR="00980189" w:rsidRPr="00980189">
        <w:rPr>
          <w:rFonts w:asciiTheme="majorHAnsi" w:hAnsiTheme="majorHAnsi"/>
          <w:i/>
          <w:lang w:val="id-ID"/>
        </w:rPr>
        <w:t>fee</w:t>
      </w:r>
      <w:r w:rsidR="00980189">
        <w:rPr>
          <w:rFonts w:asciiTheme="majorHAnsi" w:hAnsiTheme="majorHAnsi"/>
          <w:lang w:val="id-ID"/>
        </w:rPr>
        <w:t xml:space="preserve"> untuk </w:t>
      </w:r>
      <w:r w:rsidR="00E12B43" w:rsidRPr="00980189">
        <w:rPr>
          <w:rFonts w:asciiTheme="majorHAnsi" w:hAnsiTheme="majorHAnsi"/>
          <w:i/>
          <w:lang w:val="id-ID"/>
        </w:rPr>
        <w:t>joint study</w:t>
      </w:r>
      <w:r w:rsidR="00E12B43" w:rsidRPr="003E0181">
        <w:rPr>
          <w:rFonts w:asciiTheme="majorHAnsi" w:hAnsiTheme="majorHAnsi"/>
          <w:lang w:val="id-ID"/>
        </w:rPr>
        <w:t xml:space="preserve">, </w:t>
      </w:r>
      <w:r w:rsidR="00C81D87">
        <w:rPr>
          <w:rFonts w:asciiTheme="majorHAnsi" w:hAnsiTheme="majorHAnsi"/>
          <w:lang w:val="id-ID"/>
        </w:rPr>
        <w:t xml:space="preserve">karena penerimaan bukan pajak itu adalah </w:t>
      </w:r>
      <w:r w:rsidR="00E12B43" w:rsidRPr="003E0181">
        <w:rPr>
          <w:rFonts w:asciiTheme="majorHAnsi" w:hAnsiTheme="majorHAnsi"/>
          <w:lang w:val="id-ID"/>
        </w:rPr>
        <w:t xml:space="preserve">domain </w:t>
      </w:r>
      <w:r w:rsidR="00C81D87">
        <w:rPr>
          <w:rFonts w:asciiTheme="majorHAnsi" w:hAnsiTheme="majorHAnsi"/>
          <w:lang w:val="id-ID"/>
        </w:rPr>
        <w:t xml:space="preserve">dari Ditjen Migas dan tidak secara eksplisit masuk dalam </w:t>
      </w:r>
      <w:r w:rsidR="007631F4" w:rsidRPr="003E0181">
        <w:rPr>
          <w:rFonts w:asciiTheme="majorHAnsi" w:hAnsiTheme="majorHAnsi"/>
          <w:lang w:val="id-ID"/>
        </w:rPr>
        <w:t>LKPP 2011.</w:t>
      </w:r>
    </w:p>
  </w:footnote>
  <w:footnote w:id="4">
    <w:p w:rsidR="003E0181" w:rsidRDefault="003E0181" w:rsidP="003E0181">
      <w:pPr>
        <w:pStyle w:val="FootnoteText"/>
        <w:ind w:left="142" w:hanging="142"/>
        <w:jc w:val="both"/>
        <w:rPr>
          <w:rFonts w:asciiTheme="majorHAnsi" w:hAnsiTheme="majorHAnsi"/>
          <w:lang w:val="id-ID"/>
        </w:rPr>
      </w:pPr>
      <w:r w:rsidRPr="003E0181">
        <w:rPr>
          <w:rStyle w:val="FootnoteReference"/>
          <w:rFonts w:asciiTheme="majorHAnsi" w:hAnsiTheme="majorHAnsi"/>
        </w:rPr>
        <w:footnoteRef/>
      </w:r>
      <w:r w:rsidRPr="003E0181">
        <w:rPr>
          <w:rFonts w:asciiTheme="majorHAnsi" w:hAnsiTheme="majorHAnsi"/>
        </w:rPr>
        <w:t xml:space="preserve"> </w:t>
      </w:r>
      <w:r w:rsidR="00533D5F">
        <w:rPr>
          <w:rFonts w:asciiTheme="majorHAnsi" w:hAnsiTheme="majorHAnsi"/>
          <w:lang w:val="id-ID"/>
        </w:rPr>
        <w:t xml:space="preserve">Penerimaan bukan pajak migas </w:t>
      </w:r>
      <w:r w:rsidR="00533D5F">
        <w:rPr>
          <w:rStyle w:val="hps"/>
          <w:rFonts w:asciiTheme="majorHAnsi" w:hAnsiTheme="majorHAnsi"/>
          <w:lang w:val="id-ID"/>
        </w:rPr>
        <w:t>mengikuti azas neto</w:t>
      </w:r>
      <w:r w:rsidRPr="003E0181">
        <w:rPr>
          <w:rFonts w:asciiTheme="majorHAnsi" w:hAnsiTheme="majorHAnsi"/>
          <w:lang w:val="en"/>
        </w:rPr>
        <w:t xml:space="preserve">. </w:t>
      </w:r>
      <w:r w:rsidR="00641096">
        <w:rPr>
          <w:rFonts w:asciiTheme="majorHAnsi" w:hAnsiTheme="majorHAnsi"/>
          <w:lang w:val="id-ID"/>
        </w:rPr>
        <w:t xml:space="preserve">Ini karena </w:t>
      </w:r>
      <w:r w:rsidRPr="00641096">
        <w:rPr>
          <w:rStyle w:val="hps"/>
          <w:rFonts w:asciiTheme="majorHAnsi" w:hAnsiTheme="majorHAnsi"/>
          <w:i/>
          <w:lang w:val="en"/>
        </w:rPr>
        <w:t>earnings</w:t>
      </w:r>
      <w:r w:rsidRPr="00641096">
        <w:rPr>
          <w:rFonts w:asciiTheme="majorHAnsi" w:hAnsiTheme="majorHAnsi"/>
          <w:i/>
          <w:lang w:val="en"/>
        </w:rPr>
        <w:t xml:space="preserve"> </w:t>
      </w:r>
      <w:r w:rsidRPr="00641096">
        <w:rPr>
          <w:rStyle w:val="hps"/>
          <w:rFonts w:asciiTheme="majorHAnsi" w:hAnsiTheme="majorHAnsi"/>
          <w:i/>
          <w:lang w:val="en"/>
        </w:rPr>
        <w:t>process</w:t>
      </w:r>
      <w:r w:rsidR="00111C99">
        <w:rPr>
          <w:rStyle w:val="hps"/>
          <w:rFonts w:asciiTheme="majorHAnsi" w:hAnsiTheme="majorHAnsi"/>
          <w:lang w:val="id-ID"/>
        </w:rPr>
        <w:t xml:space="preserve"> </w:t>
      </w:r>
      <w:r w:rsidR="00844AE3">
        <w:rPr>
          <w:rStyle w:val="hps"/>
          <w:rFonts w:asciiTheme="majorHAnsi" w:hAnsiTheme="majorHAnsi"/>
          <w:lang w:val="id-ID"/>
        </w:rPr>
        <w:t xml:space="preserve">dari bagian pemerintah atas migas yang diterima di rekening </w:t>
      </w:r>
      <w:r w:rsidR="00111C99">
        <w:rPr>
          <w:rStyle w:val="hps"/>
          <w:rFonts w:asciiTheme="majorHAnsi" w:hAnsiTheme="majorHAnsi"/>
          <w:lang w:val="en"/>
        </w:rPr>
        <w:t>600</w:t>
      </w:r>
      <w:r w:rsidR="00111C99">
        <w:rPr>
          <w:rStyle w:val="hps"/>
          <w:rFonts w:asciiTheme="majorHAnsi" w:hAnsiTheme="majorHAnsi"/>
          <w:lang w:val="id-ID"/>
        </w:rPr>
        <w:t>.</w:t>
      </w:r>
      <w:r w:rsidR="00111C99">
        <w:rPr>
          <w:rStyle w:val="hps"/>
          <w:rFonts w:asciiTheme="majorHAnsi" w:hAnsiTheme="majorHAnsi"/>
          <w:lang w:val="en"/>
        </w:rPr>
        <w:t>000</w:t>
      </w:r>
      <w:r w:rsidR="00111C99">
        <w:rPr>
          <w:rStyle w:val="hps"/>
          <w:rFonts w:asciiTheme="majorHAnsi" w:hAnsiTheme="majorHAnsi"/>
          <w:lang w:val="id-ID"/>
        </w:rPr>
        <w:t>.</w:t>
      </w:r>
      <w:r w:rsidR="00111C99" w:rsidRPr="003E0181">
        <w:rPr>
          <w:rStyle w:val="hps"/>
          <w:rFonts w:asciiTheme="majorHAnsi" w:hAnsiTheme="majorHAnsi"/>
          <w:lang w:val="en"/>
        </w:rPr>
        <w:t>411</w:t>
      </w:r>
      <w:r w:rsidR="00844AE3">
        <w:rPr>
          <w:rStyle w:val="hps"/>
          <w:rFonts w:asciiTheme="majorHAnsi" w:hAnsiTheme="majorHAnsi"/>
          <w:lang w:val="id-ID"/>
        </w:rPr>
        <w:t xml:space="preserve"> harus memasukkan kewajiban pemerintah seperti </w:t>
      </w:r>
      <w:r w:rsidRPr="00844AE3">
        <w:rPr>
          <w:rStyle w:val="hps"/>
          <w:rFonts w:asciiTheme="majorHAnsi" w:hAnsiTheme="majorHAnsi"/>
          <w:i/>
          <w:lang w:val="en"/>
        </w:rPr>
        <w:t>over</w:t>
      </w:r>
      <w:r w:rsidR="00866EF7" w:rsidRPr="00844AE3">
        <w:rPr>
          <w:rStyle w:val="hps"/>
          <w:rFonts w:asciiTheme="majorHAnsi" w:hAnsiTheme="majorHAnsi"/>
          <w:i/>
          <w:lang w:val="id-ID"/>
        </w:rPr>
        <w:t>/under</w:t>
      </w:r>
      <w:r w:rsidRPr="00844AE3">
        <w:rPr>
          <w:rStyle w:val="hps"/>
          <w:rFonts w:asciiTheme="majorHAnsi" w:hAnsiTheme="majorHAnsi"/>
          <w:i/>
          <w:lang w:val="en"/>
        </w:rPr>
        <w:t>lifting</w:t>
      </w:r>
      <w:r w:rsidRPr="003E0181">
        <w:rPr>
          <w:rFonts w:asciiTheme="majorHAnsi" w:hAnsiTheme="majorHAnsi"/>
          <w:lang w:val="en"/>
        </w:rPr>
        <w:t xml:space="preserve">, </w:t>
      </w:r>
      <w:r w:rsidRPr="00844AE3">
        <w:rPr>
          <w:rStyle w:val="hps"/>
          <w:rFonts w:asciiTheme="majorHAnsi" w:hAnsiTheme="majorHAnsi"/>
          <w:i/>
          <w:lang w:val="en"/>
        </w:rPr>
        <w:t>Domestic Market Obligation</w:t>
      </w:r>
      <w:r w:rsidRPr="00844AE3">
        <w:rPr>
          <w:rFonts w:asciiTheme="majorHAnsi" w:hAnsiTheme="majorHAnsi"/>
          <w:i/>
          <w:lang w:val="en"/>
        </w:rPr>
        <w:t xml:space="preserve"> </w:t>
      </w:r>
      <w:r w:rsidRPr="00844AE3">
        <w:rPr>
          <w:rStyle w:val="hps"/>
          <w:rFonts w:asciiTheme="majorHAnsi" w:hAnsiTheme="majorHAnsi"/>
          <w:i/>
          <w:lang w:val="en"/>
        </w:rPr>
        <w:t>(</w:t>
      </w:r>
      <w:r w:rsidRPr="00844AE3">
        <w:rPr>
          <w:rFonts w:asciiTheme="majorHAnsi" w:hAnsiTheme="majorHAnsi"/>
          <w:i/>
          <w:lang w:val="en"/>
        </w:rPr>
        <w:t xml:space="preserve">DMO) </w:t>
      </w:r>
      <w:r w:rsidRPr="00844AE3">
        <w:rPr>
          <w:rStyle w:val="hps"/>
          <w:rFonts w:asciiTheme="majorHAnsi" w:hAnsiTheme="majorHAnsi"/>
          <w:i/>
          <w:lang w:val="en"/>
        </w:rPr>
        <w:t>fee</w:t>
      </w:r>
      <w:r w:rsidRPr="003E0181">
        <w:rPr>
          <w:rFonts w:asciiTheme="majorHAnsi" w:hAnsiTheme="majorHAnsi"/>
          <w:lang w:val="en"/>
        </w:rPr>
        <w:t xml:space="preserve">, </w:t>
      </w:r>
      <w:r w:rsidR="00844AE3">
        <w:rPr>
          <w:rStyle w:val="hps"/>
          <w:rFonts w:asciiTheme="majorHAnsi" w:hAnsiTheme="majorHAnsi"/>
          <w:lang w:val="id-ID"/>
        </w:rPr>
        <w:t xml:space="preserve">dan </w:t>
      </w:r>
      <w:r w:rsidR="00844AE3">
        <w:rPr>
          <w:rFonts w:asciiTheme="majorHAnsi" w:hAnsiTheme="majorHAnsi"/>
          <w:lang w:val="id-ID"/>
        </w:rPr>
        <w:t xml:space="preserve">pengembalian </w:t>
      </w:r>
      <w:r w:rsidR="00844AE3">
        <w:rPr>
          <w:rStyle w:val="hps"/>
          <w:rFonts w:asciiTheme="majorHAnsi" w:hAnsiTheme="majorHAnsi"/>
          <w:lang w:val="id-ID"/>
        </w:rPr>
        <w:t>PPN dan PBB</w:t>
      </w:r>
      <w:r w:rsidR="00866EF7">
        <w:rPr>
          <w:rFonts w:asciiTheme="majorHAnsi" w:hAnsiTheme="majorHAnsi"/>
          <w:lang w:val="id-ID"/>
        </w:rPr>
        <w:t>.</w:t>
      </w:r>
      <w:r w:rsidR="00CA4068">
        <w:rPr>
          <w:rFonts w:asciiTheme="majorHAnsi" w:hAnsiTheme="majorHAnsi"/>
          <w:lang w:val="id-ID"/>
        </w:rPr>
        <w:t xml:space="preserve"> LKPP 2011 </w:t>
      </w:r>
      <w:r w:rsidR="00844AE3">
        <w:rPr>
          <w:rFonts w:asciiTheme="majorHAnsi" w:hAnsiTheme="majorHAnsi"/>
          <w:lang w:val="id-ID"/>
        </w:rPr>
        <w:t>melaporkan pengembalian tersebut seperti tabel berikut</w:t>
      </w:r>
      <w:r w:rsidR="00CA4068">
        <w:rPr>
          <w:rFonts w:asciiTheme="majorHAnsi" w:hAnsiTheme="majorHAnsi"/>
          <w:lang w:val="id-ID"/>
        </w:rPr>
        <w:t>:</w:t>
      </w:r>
    </w:p>
    <w:tbl>
      <w:tblPr>
        <w:tblW w:w="535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</w:tblGrid>
      <w:tr w:rsidR="00CA4068" w:rsidRPr="00CA4068" w:rsidTr="00CA4068">
        <w:tc>
          <w:tcPr>
            <w:tcW w:w="3227" w:type="dxa"/>
            <w:shd w:val="clear" w:color="auto" w:fill="auto"/>
          </w:tcPr>
          <w:p w:rsidR="00CA4068" w:rsidRPr="00CA4068" w:rsidRDefault="001F03E9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</w:pPr>
            <w:r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Item</w:t>
            </w:r>
          </w:p>
        </w:tc>
        <w:tc>
          <w:tcPr>
            <w:tcW w:w="2126" w:type="dxa"/>
            <w:shd w:val="clear" w:color="auto" w:fill="auto"/>
          </w:tcPr>
          <w:p w:rsidR="00CA4068" w:rsidRPr="00CA4068" w:rsidRDefault="001F03E9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r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Dalam triliu</w:t>
            </w:r>
            <w:r w:rsidR="00CA4068" w:rsidRPr="00CA4068"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 xml:space="preserve">n </w:t>
            </w:r>
            <w:r w:rsidR="00CA4068"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R</w:t>
            </w:r>
            <w:r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upiah</w:t>
            </w:r>
          </w:p>
        </w:tc>
      </w:tr>
      <w:tr w:rsidR="00CA4068" w:rsidRPr="00CA4068" w:rsidTr="00CA4068">
        <w:tc>
          <w:tcPr>
            <w:tcW w:w="3227" w:type="dxa"/>
            <w:shd w:val="clear" w:color="auto" w:fill="auto"/>
          </w:tcPr>
          <w:p w:rsidR="00CA4068" w:rsidRPr="00CA4068" w:rsidRDefault="001F03E9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r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Pengembalian PPN</w:t>
            </w:r>
          </w:p>
        </w:tc>
        <w:tc>
          <w:tcPr>
            <w:tcW w:w="2126" w:type="dxa"/>
            <w:shd w:val="clear" w:color="auto" w:fill="auto"/>
          </w:tcPr>
          <w:p w:rsidR="00CA4068" w:rsidRPr="00CA4068" w:rsidRDefault="00CA4068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7.59</w:t>
            </w:r>
          </w:p>
        </w:tc>
      </w:tr>
      <w:tr w:rsidR="00CA4068" w:rsidRPr="00CA4068" w:rsidTr="00CA4068">
        <w:tc>
          <w:tcPr>
            <w:tcW w:w="3227" w:type="dxa"/>
            <w:shd w:val="clear" w:color="auto" w:fill="auto"/>
          </w:tcPr>
          <w:p w:rsidR="00CA4068" w:rsidRPr="00CA4068" w:rsidRDefault="00CA4068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DMO Fee</w:t>
            </w:r>
          </w:p>
        </w:tc>
        <w:tc>
          <w:tcPr>
            <w:tcW w:w="2126" w:type="dxa"/>
            <w:shd w:val="clear" w:color="auto" w:fill="auto"/>
          </w:tcPr>
          <w:p w:rsidR="00CA4068" w:rsidRPr="00CA4068" w:rsidRDefault="00CA4068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11</w:t>
            </w:r>
            <w:r w:rsidRPr="00CA4068"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.</w:t>
            </w: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9</w:t>
            </w:r>
            <w:r w:rsidRPr="00CA4068"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9</w:t>
            </w:r>
          </w:p>
        </w:tc>
      </w:tr>
      <w:tr w:rsidR="00CA4068" w:rsidRPr="00CA4068" w:rsidTr="00CA4068">
        <w:tc>
          <w:tcPr>
            <w:tcW w:w="3227" w:type="dxa"/>
            <w:shd w:val="clear" w:color="auto" w:fill="auto"/>
          </w:tcPr>
          <w:p w:rsidR="00CA4068" w:rsidRPr="00CA4068" w:rsidRDefault="00CA4068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</w:pP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Fee</w:t>
            </w:r>
            <w:r w:rsidR="001F03E9"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 xml:space="preserve"> </w:t>
            </w: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BPMIGAS</w:t>
            </w:r>
          </w:p>
        </w:tc>
        <w:tc>
          <w:tcPr>
            <w:tcW w:w="2126" w:type="dxa"/>
            <w:shd w:val="clear" w:color="auto" w:fill="auto"/>
          </w:tcPr>
          <w:p w:rsidR="00CA4068" w:rsidRPr="00CA4068" w:rsidRDefault="00CA4068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1.3</w:t>
            </w:r>
            <w:r w:rsidRPr="00CA4068"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7</w:t>
            </w:r>
          </w:p>
        </w:tc>
      </w:tr>
      <w:tr w:rsidR="00CA4068" w:rsidRPr="00CA4068" w:rsidTr="00CA4068">
        <w:tc>
          <w:tcPr>
            <w:tcW w:w="3227" w:type="dxa"/>
            <w:shd w:val="clear" w:color="auto" w:fill="auto"/>
          </w:tcPr>
          <w:p w:rsidR="00CA4068" w:rsidRPr="00CA4068" w:rsidRDefault="00CA4068" w:rsidP="001F03E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proofErr w:type="spellStart"/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Underlifting</w:t>
            </w:r>
            <w:proofErr w:type="spellEnd"/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 xml:space="preserve"> </w:t>
            </w:r>
            <w:r w:rsidR="001F03E9"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yang dibayar kepada Kontraktor</w:t>
            </w:r>
          </w:p>
        </w:tc>
        <w:tc>
          <w:tcPr>
            <w:tcW w:w="2126" w:type="dxa"/>
            <w:shd w:val="clear" w:color="auto" w:fill="auto"/>
          </w:tcPr>
          <w:p w:rsidR="00CA4068" w:rsidRPr="00CA4068" w:rsidRDefault="00CA4068" w:rsidP="00CA40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</w:pPr>
            <w:r w:rsidRPr="00CA4068">
              <w:rPr>
                <w:rFonts w:ascii="Cambria" w:eastAsia="Calibri" w:hAnsi="Cambria" w:cs="Calibri"/>
                <w:sz w:val="20"/>
                <w:szCs w:val="20"/>
                <w:lang w:val="en-GB" w:eastAsia="en-GB"/>
              </w:rPr>
              <w:t>1.4</w:t>
            </w:r>
            <w:r w:rsidRPr="00CA4068">
              <w:rPr>
                <w:rFonts w:ascii="Cambria" w:eastAsia="Calibri" w:hAnsi="Cambria" w:cs="Calibri"/>
                <w:sz w:val="20"/>
                <w:szCs w:val="20"/>
                <w:lang w:val="id-ID" w:eastAsia="en-GB"/>
              </w:rPr>
              <w:t>6</w:t>
            </w:r>
          </w:p>
        </w:tc>
      </w:tr>
    </w:tbl>
    <w:p w:rsidR="00CA4068" w:rsidRPr="002E5F2E" w:rsidRDefault="00CA4068" w:rsidP="00CA4068">
      <w:pPr>
        <w:pStyle w:val="FootnoteText"/>
        <w:jc w:val="both"/>
        <w:rPr>
          <w:rFonts w:asciiTheme="majorHAnsi" w:hAnsiTheme="majorHAnsi"/>
          <w:sz w:val="6"/>
          <w:szCs w:val="6"/>
          <w:lang w:val="id-ID"/>
        </w:rPr>
      </w:pPr>
    </w:p>
  </w:footnote>
  <w:footnote w:id="5">
    <w:p w:rsidR="00ED23BD" w:rsidRPr="00ED23BD" w:rsidRDefault="00ED23BD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 w:rsidR="00A75605">
        <w:rPr>
          <w:rFonts w:asciiTheme="majorHAnsi" w:hAnsiTheme="majorHAnsi"/>
          <w:lang w:val="id-ID"/>
        </w:rPr>
        <w:t xml:space="preserve"> </w:t>
      </w:r>
      <w:r w:rsidR="00EE667F">
        <w:rPr>
          <w:rFonts w:asciiTheme="majorHAnsi" w:hAnsiTheme="majorHAnsi"/>
          <w:lang w:val="id-ID"/>
        </w:rPr>
        <w:t xml:space="preserve">Merujuk pada minyak bagian pemerintah setelah disbursement seperti dijelaskan pada catatan kaki 4. </w:t>
      </w:r>
    </w:p>
  </w:footnote>
  <w:footnote w:id="6">
    <w:p w:rsidR="00E36B5E" w:rsidRPr="00A95E88" w:rsidRDefault="00E36B5E" w:rsidP="003E0181">
      <w:pPr>
        <w:pStyle w:val="FootnoteText"/>
        <w:jc w:val="both"/>
        <w:rPr>
          <w:rFonts w:asciiTheme="majorHAnsi" w:hAnsiTheme="majorHAnsi"/>
          <w:lang w:val="id-ID"/>
        </w:rPr>
      </w:pPr>
      <w:r w:rsidRPr="00A95E88">
        <w:rPr>
          <w:rStyle w:val="FootnoteReference"/>
          <w:rFonts w:asciiTheme="majorHAnsi" w:hAnsiTheme="majorHAnsi"/>
        </w:rPr>
        <w:footnoteRef/>
      </w:r>
      <w:r w:rsidRPr="00A95E88">
        <w:rPr>
          <w:rFonts w:asciiTheme="majorHAnsi" w:hAnsiTheme="majorHAnsi"/>
        </w:rPr>
        <w:t xml:space="preserve"> </w:t>
      </w:r>
      <w:r w:rsidR="00EE667F">
        <w:rPr>
          <w:rFonts w:asciiTheme="majorHAnsi" w:hAnsiTheme="majorHAnsi"/>
          <w:lang w:val="id-ID"/>
        </w:rPr>
        <w:t>Merujuk pada minyak bagian pemerintah setelah disbursement seperti dijelaskan pada catatan kaki 4</w:t>
      </w:r>
      <w:r w:rsidRPr="00A95E88">
        <w:rPr>
          <w:rFonts w:asciiTheme="majorHAnsi" w:hAnsiTheme="majorHAnsi"/>
          <w:lang w:val="id-ID"/>
        </w:rPr>
        <w:t xml:space="preserve">. </w:t>
      </w:r>
    </w:p>
  </w:footnote>
  <w:footnote w:id="7">
    <w:p w:rsidR="00521E28" w:rsidRPr="00521E28" w:rsidRDefault="00521E28" w:rsidP="00775717">
      <w:pPr>
        <w:pStyle w:val="FootnoteText"/>
        <w:ind w:left="142" w:hanging="142"/>
        <w:contextualSpacing/>
        <w:jc w:val="both"/>
        <w:rPr>
          <w:lang w:val="id-ID"/>
        </w:rPr>
      </w:pPr>
      <w:r w:rsidRPr="00A95E88">
        <w:rPr>
          <w:rStyle w:val="FootnoteReference"/>
          <w:rFonts w:asciiTheme="majorHAnsi" w:hAnsiTheme="majorHAnsi"/>
        </w:rPr>
        <w:footnoteRef/>
      </w:r>
      <w:r w:rsidRPr="00A95E88">
        <w:rPr>
          <w:rFonts w:asciiTheme="majorHAnsi" w:hAnsiTheme="majorHAnsi"/>
        </w:rPr>
        <w:t xml:space="preserve"> </w:t>
      </w:r>
      <w:r w:rsidR="004B1331">
        <w:rPr>
          <w:rFonts w:asciiTheme="majorHAnsi" w:hAnsiTheme="majorHAnsi"/>
          <w:lang w:val="id-ID"/>
        </w:rPr>
        <w:t>Tidak termasuk pajak yang dibayar oleh perusahaan tambang kepada pemerintah daerah (penerimaan lokal</w:t>
      </w:r>
      <w:r w:rsidR="00EA2C13">
        <w:rPr>
          <w:rFonts w:asciiTheme="majorHAnsi" w:hAnsiTheme="majorHAnsi"/>
          <w:lang w:val="id-ID"/>
        </w:rPr>
        <w:t xml:space="preserve">). </w:t>
      </w:r>
      <w:r w:rsidR="004B1331">
        <w:rPr>
          <w:rFonts w:asciiTheme="majorHAnsi" w:hAnsiTheme="majorHAnsi"/>
          <w:lang w:val="id-ID"/>
        </w:rPr>
        <w:t xml:space="preserve">Tidak termasuk pajak penghasilan pasal </w:t>
      </w:r>
      <w:r w:rsidR="00A95E88" w:rsidRPr="00A95E88">
        <w:rPr>
          <w:rStyle w:val="longtext"/>
          <w:rFonts w:ascii="Cambria" w:hAnsi="Cambria"/>
          <w:shd w:val="clear" w:color="auto" w:fill="FFFFFF"/>
          <w:lang w:val="id-ID"/>
        </w:rPr>
        <w:t xml:space="preserve">26, 4, 15, 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 xml:space="preserve">dan </w:t>
      </w:r>
      <w:r w:rsidR="00A95E88" w:rsidRPr="00A95E88">
        <w:rPr>
          <w:rStyle w:val="longtext"/>
          <w:rFonts w:ascii="Cambria" w:hAnsi="Cambria"/>
          <w:shd w:val="clear" w:color="auto" w:fill="FFFFFF"/>
          <w:lang w:val="id-ID"/>
        </w:rPr>
        <w:t xml:space="preserve">23 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>yang merujuk pada pajak untuk jasa dan sewa yang diberikan oleh perusahaan asing dan domestik</w:t>
      </w:r>
      <w:r w:rsidR="00A95E88" w:rsidRPr="00A95E88">
        <w:rPr>
          <w:rStyle w:val="longtext"/>
          <w:rFonts w:ascii="Cambria" w:hAnsi="Cambria"/>
          <w:shd w:val="clear" w:color="auto" w:fill="FFFFFF"/>
          <w:lang w:val="id-ID"/>
        </w:rPr>
        <w:t xml:space="preserve">. 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 xml:space="preserve">Pajak ini dikumpulkan dari perusahaan </w:t>
      </w:r>
      <w:r w:rsidR="00A95E88" w:rsidRPr="00A95E88">
        <w:rPr>
          <w:rStyle w:val="longtext"/>
          <w:rFonts w:ascii="Cambria" w:hAnsi="Cambria"/>
          <w:shd w:val="clear" w:color="auto" w:fill="FFFFFF"/>
          <w:lang w:val="id-ID"/>
        </w:rPr>
        <w:t xml:space="preserve">service/rental 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>oleh perusahaan tambang</w:t>
      </w:r>
      <w:r w:rsidR="00A95E88" w:rsidRPr="00A95E88">
        <w:rPr>
          <w:rStyle w:val="longtext"/>
          <w:rFonts w:ascii="Cambria" w:hAnsi="Cambria"/>
          <w:shd w:val="clear" w:color="auto" w:fill="FFFFFF"/>
          <w:lang w:val="id-ID"/>
        </w:rPr>
        <w:t xml:space="preserve">, 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>yang kemudian men</w:t>
      </w:r>
      <w:r w:rsidR="00A95E88" w:rsidRPr="00A95E88">
        <w:rPr>
          <w:rStyle w:val="longtext"/>
          <w:rFonts w:ascii="Cambria" w:hAnsi="Cambria"/>
          <w:shd w:val="clear" w:color="auto" w:fill="FFFFFF"/>
          <w:lang w:val="id-ID"/>
        </w:rPr>
        <w:t>ran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>s</w:t>
      </w:r>
      <w:r w:rsidR="00A95E88" w:rsidRPr="00A95E88">
        <w:rPr>
          <w:rStyle w:val="longtext"/>
          <w:rFonts w:ascii="Cambria" w:hAnsi="Cambria"/>
          <w:shd w:val="clear" w:color="auto" w:fill="FFFFFF"/>
          <w:lang w:val="id-ID"/>
        </w:rPr>
        <w:t>fer</w:t>
      </w:r>
      <w:r w:rsidR="00A95E88" w:rsidRPr="00A95E88">
        <w:rPr>
          <w:rStyle w:val="longtext"/>
          <w:rFonts w:ascii="Cambria" w:hAnsi="Cambria"/>
          <w:shd w:val="clear" w:color="auto" w:fill="FFFFFF"/>
        </w:rPr>
        <w:t xml:space="preserve"> 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>dana ini kepada rekening negara</w:t>
      </w:r>
      <w:r w:rsidR="00A95E88" w:rsidRPr="00C2789A">
        <w:rPr>
          <w:rStyle w:val="longtext"/>
          <w:rFonts w:ascii="Cambria" w:hAnsi="Cambria"/>
          <w:shd w:val="clear" w:color="auto" w:fill="FFFFFF"/>
          <w:lang w:val="id-ID"/>
        </w:rPr>
        <w:t>.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 xml:space="preserve"> Keran itu, pajak ini bukan berasal dari perusahaan tambang</w:t>
      </w:r>
      <w:r w:rsidR="00EA2C13" w:rsidRPr="00C2789A">
        <w:rPr>
          <w:rStyle w:val="longtext"/>
          <w:rFonts w:ascii="Cambria" w:hAnsi="Cambria"/>
          <w:shd w:val="clear" w:color="auto" w:fill="FFFFFF"/>
          <w:lang w:val="id-ID"/>
        </w:rPr>
        <w:t xml:space="preserve">. </w:t>
      </w:r>
      <w:r w:rsidR="004B1331">
        <w:rPr>
          <w:rStyle w:val="longtext"/>
          <w:rFonts w:ascii="Cambria" w:hAnsi="Cambria"/>
          <w:shd w:val="clear" w:color="auto" w:fill="FFFFFF"/>
          <w:lang w:val="id-ID"/>
        </w:rPr>
        <w:t>Dan ini juga tidak termasuk PPN yang dibayarkan kepada perusahaan pertambangan</w:t>
      </w:r>
      <w:r w:rsidR="00C2789A" w:rsidRPr="00C2789A">
        <w:rPr>
          <w:rStyle w:val="longtext"/>
          <w:rFonts w:ascii="Cambria" w:hAnsi="Cambria"/>
          <w:shd w:val="clear" w:color="auto" w:fill="FFFFFF"/>
          <w:lang w:val="id-ID"/>
        </w:rPr>
        <w:t>.</w:t>
      </w:r>
    </w:p>
  </w:footnote>
  <w:footnote w:id="8">
    <w:p w:rsidR="00FF1CC8" w:rsidRPr="00EA6E72" w:rsidRDefault="00FF1CC8" w:rsidP="00775717">
      <w:pPr>
        <w:pStyle w:val="FootnoteText"/>
        <w:ind w:left="142" w:hanging="142"/>
        <w:contextualSpacing/>
        <w:jc w:val="both"/>
        <w:rPr>
          <w:lang w:val="id-ID"/>
        </w:rPr>
      </w:pPr>
      <w:r w:rsidRPr="00707F85">
        <w:rPr>
          <w:rStyle w:val="FootnoteReference"/>
          <w:rFonts w:asciiTheme="majorHAnsi" w:hAnsiTheme="majorHAnsi"/>
        </w:rPr>
        <w:footnoteRef/>
      </w:r>
      <w:r w:rsidRPr="00707F85">
        <w:rPr>
          <w:rFonts w:asciiTheme="majorHAnsi" w:hAnsiTheme="majorHAnsi"/>
        </w:rPr>
        <w:t xml:space="preserve"> </w:t>
      </w:r>
      <w:r w:rsidR="001919CF">
        <w:rPr>
          <w:rFonts w:asciiTheme="majorHAnsi" w:hAnsiTheme="majorHAnsi"/>
          <w:lang w:val="id-ID"/>
        </w:rPr>
        <w:t xml:space="preserve">Kode Akun ini merujuk pada PPh Badan Non Migas pasal </w:t>
      </w:r>
      <w:r w:rsidRPr="00707F85">
        <w:rPr>
          <w:rFonts w:asciiTheme="majorHAnsi" w:hAnsiTheme="majorHAnsi"/>
          <w:lang w:val="id-ID"/>
        </w:rPr>
        <w:t xml:space="preserve">25 </w:t>
      </w:r>
      <w:r w:rsidR="001919CF">
        <w:rPr>
          <w:rFonts w:asciiTheme="majorHAnsi" w:hAnsiTheme="majorHAnsi"/>
          <w:lang w:val="id-ID"/>
        </w:rPr>
        <w:t xml:space="preserve">dan </w:t>
      </w:r>
      <w:r w:rsidRPr="00707F85">
        <w:rPr>
          <w:rFonts w:asciiTheme="majorHAnsi" w:hAnsiTheme="majorHAnsi"/>
          <w:lang w:val="id-ID"/>
        </w:rPr>
        <w:t xml:space="preserve">29 (PPh 25/29), </w:t>
      </w:r>
      <w:r w:rsidR="001919CF">
        <w:rPr>
          <w:rFonts w:asciiTheme="majorHAnsi" w:hAnsiTheme="majorHAnsi"/>
          <w:lang w:val="id-ID"/>
        </w:rPr>
        <w:t xml:space="preserve">di mana total jumlahnya adalh Rp </w:t>
      </w:r>
      <w:r w:rsidR="00BF4606">
        <w:rPr>
          <w:rFonts w:ascii="Cambria" w:hAnsi="Cambria"/>
          <w:lang w:val="id-ID"/>
        </w:rPr>
        <w:t>154.</w:t>
      </w:r>
      <w:r w:rsidR="001919CF">
        <w:rPr>
          <w:rFonts w:ascii="Cambria" w:hAnsi="Cambria"/>
          <w:lang w:val="id-ID"/>
        </w:rPr>
        <w:t>6 triliu</w:t>
      </w:r>
      <w:r>
        <w:rPr>
          <w:rFonts w:ascii="Cambria" w:hAnsi="Cambria"/>
          <w:lang w:val="id-ID"/>
        </w:rPr>
        <w:t xml:space="preserve">n </w:t>
      </w:r>
      <w:r w:rsidRPr="00E74A01">
        <w:rPr>
          <w:rFonts w:ascii="Cambria" w:hAnsi="Cambria"/>
          <w:lang w:val="id-ID"/>
        </w:rPr>
        <w:t>2011.</w:t>
      </w:r>
    </w:p>
  </w:footnote>
  <w:footnote w:id="9">
    <w:p w:rsidR="00895BDB" w:rsidRPr="00E74A01" w:rsidRDefault="00895BDB" w:rsidP="00895BDB">
      <w:pPr>
        <w:pStyle w:val="FootnoteText"/>
        <w:contextualSpacing/>
        <w:rPr>
          <w:rFonts w:ascii="Cambria" w:hAnsi="Cambria"/>
          <w:lang w:val="id-ID"/>
        </w:rPr>
      </w:pPr>
      <w:r w:rsidRPr="00E74A01">
        <w:rPr>
          <w:rStyle w:val="FootnoteReference"/>
          <w:rFonts w:ascii="Cambria" w:hAnsi="Cambria"/>
        </w:rPr>
        <w:footnoteRef/>
      </w:r>
      <w:r w:rsidRPr="00E74A01">
        <w:rPr>
          <w:rFonts w:ascii="Cambria" w:hAnsi="Cambria"/>
        </w:rPr>
        <w:t xml:space="preserve"> </w:t>
      </w:r>
      <w:r w:rsidR="00622475">
        <w:rPr>
          <w:rFonts w:ascii="Cambria" w:hAnsi="Cambria"/>
          <w:lang w:val="id-ID"/>
        </w:rPr>
        <w:t xml:space="preserve">Angka ini berasal dari laporan tahunan Ditjen Pajak tahun </w:t>
      </w:r>
      <w:r>
        <w:rPr>
          <w:rFonts w:ascii="Cambria" w:hAnsi="Cambria"/>
          <w:lang w:val="id-ID"/>
        </w:rPr>
        <w:t>2011</w:t>
      </w:r>
      <w:r w:rsidR="00E36B5E">
        <w:rPr>
          <w:rFonts w:ascii="Cambria" w:hAnsi="Cambria"/>
          <w:lang w:val="id-ID"/>
        </w:rPr>
        <w:t>.</w:t>
      </w:r>
      <w:r>
        <w:rPr>
          <w:rFonts w:ascii="Cambria" w:hAnsi="Cambria"/>
          <w:lang w:val="id-ID"/>
        </w:rPr>
        <w:t xml:space="preserve"> </w:t>
      </w:r>
    </w:p>
  </w:footnote>
  <w:footnote w:id="10">
    <w:p w:rsidR="00FF1CC8" w:rsidRPr="00495278" w:rsidRDefault="00FF1CC8" w:rsidP="004C2263">
      <w:pPr>
        <w:pStyle w:val="FootnoteText"/>
        <w:ind w:left="142" w:hanging="142"/>
        <w:contextualSpacing/>
        <w:jc w:val="both"/>
        <w:rPr>
          <w:rFonts w:ascii="Cambria" w:hAnsi="Cambria"/>
          <w:lang w:val="id-ID"/>
        </w:rPr>
      </w:pPr>
      <w:r w:rsidRPr="00E74A01">
        <w:rPr>
          <w:rStyle w:val="FootnoteReference"/>
          <w:rFonts w:ascii="Cambria" w:hAnsi="Cambria"/>
        </w:rPr>
        <w:footnoteRef/>
      </w:r>
      <w:r w:rsidRPr="00E74A01">
        <w:rPr>
          <w:rFonts w:ascii="Cambria" w:hAnsi="Cambria"/>
        </w:rPr>
        <w:t xml:space="preserve"> </w:t>
      </w:r>
      <w:r w:rsidR="002963FA">
        <w:rPr>
          <w:rFonts w:ascii="Cambria" w:hAnsi="Cambria"/>
          <w:lang w:val="id-ID"/>
        </w:rPr>
        <w:t xml:space="preserve">Kode Akun ini adalah </w:t>
      </w:r>
      <w:r w:rsidR="00923BAE">
        <w:rPr>
          <w:rFonts w:ascii="Cambria" w:hAnsi="Cambria"/>
          <w:lang w:val="id-ID"/>
        </w:rPr>
        <w:t xml:space="preserve">Penerimaan laba dari BUMN </w:t>
      </w:r>
      <w:r w:rsidR="00895BDB">
        <w:rPr>
          <w:rFonts w:ascii="Cambria" w:hAnsi="Cambria"/>
          <w:lang w:val="id-ID"/>
        </w:rPr>
        <w:t xml:space="preserve">non-banking, </w:t>
      </w:r>
      <w:r w:rsidR="00923BAE">
        <w:rPr>
          <w:rFonts w:ascii="Cambria" w:hAnsi="Cambria"/>
          <w:lang w:val="id-ID"/>
        </w:rPr>
        <w:t xml:space="preserve"> di mana jumlah totalya adalah </w:t>
      </w:r>
      <w:r w:rsidR="00794607">
        <w:rPr>
          <w:rFonts w:ascii="Cambria" w:hAnsi="Cambria"/>
          <w:lang w:val="id-ID"/>
        </w:rPr>
        <w:t>Rp 24.</w:t>
      </w:r>
      <w:r w:rsidR="00923BAE">
        <w:rPr>
          <w:rFonts w:ascii="Cambria" w:hAnsi="Cambria"/>
          <w:lang w:val="id-ID"/>
        </w:rPr>
        <w:t xml:space="preserve">56 triliun tahun </w:t>
      </w:r>
      <w:r w:rsidR="00895BDB" w:rsidRPr="00E74A01">
        <w:rPr>
          <w:rFonts w:ascii="Cambria" w:hAnsi="Cambria"/>
          <w:lang w:val="id-ID"/>
        </w:rPr>
        <w:t>2011.</w:t>
      </w:r>
      <w:r w:rsidR="00794607">
        <w:rPr>
          <w:rFonts w:ascii="Cambria" w:hAnsi="Cambria"/>
          <w:lang w:val="id-ID"/>
        </w:rPr>
        <w:t xml:space="preserve"> </w:t>
      </w:r>
    </w:p>
  </w:footnote>
  <w:footnote w:id="11">
    <w:p w:rsidR="00FF1CC8" w:rsidRPr="00495278" w:rsidRDefault="00FF1CC8" w:rsidP="008B3DB7">
      <w:pPr>
        <w:pStyle w:val="FootnoteText"/>
        <w:ind w:left="142" w:hanging="142"/>
        <w:jc w:val="both"/>
        <w:rPr>
          <w:lang w:val="id-ID"/>
        </w:rPr>
      </w:pPr>
      <w:r w:rsidRPr="00495278">
        <w:rPr>
          <w:rStyle w:val="FootnoteReference"/>
          <w:rFonts w:ascii="Cambria" w:hAnsi="Cambria"/>
        </w:rPr>
        <w:footnoteRef/>
      </w:r>
      <w:r w:rsidRPr="00495278">
        <w:rPr>
          <w:rFonts w:ascii="Cambria" w:hAnsi="Cambria"/>
        </w:rPr>
        <w:t xml:space="preserve"> </w:t>
      </w:r>
      <w:r w:rsidR="001B49A9">
        <w:rPr>
          <w:rFonts w:ascii="Cambria" w:hAnsi="Cambria"/>
          <w:lang w:val="id-ID"/>
        </w:rPr>
        <w:t xml:space="preserve">Dibayar oleh perusahaan yang terkait dengan penggunaan lahan hutan berdasarkan PP 2/2008, Pendapatan atas Penggunaan Kawasan Hutan </w:t>
      </w:r>
      <w:r w:rsidR="00495278" w:rsidRPr="00495278">
        <w:rPr>
          <w:rFonts w:ascii="Cambria" w:hAnsi="Cambria"/>
          <w:lang w:val="id-ID"/>
        </w:rPr>
        <w:t xml:space="preserve">(PPKH) </w:t>
      </w:r>
      <w:r w:rsidR="001B49A9">
        <w:rPr>
          <w:rFonts w:ascii="Cambria" w:hAnsi="Cambria"/>
          <w:lang w:val="id-ID"/>
        </w:rPr>
        <w:t>tidak hanya dibayarkan oleh perusahaan tambang</w:t>
      </w:r>
      <w:r w:rsidR="00495278" w:rsidRPr="00495278">
        <w:rPr>
          <w:rFonts w:ascii="Cambria" w:hAnsi="Cambria"/>
          <w:lang w:val="id-ID"/>
        </w:rPr>
        <w:t xml:space="preserve">. </w:t>
      </w:r>
      <w:r w:rsidR="001B49A9">
        <w:rPr>
          <w:rFonts w:ascii="Cambria" w:hAnsi="Cambria"/>
          <w:lang w:val="id-ID"/>
        </w:rPr>
        <w:t>Meskipun demikian</w:t>
      </w:r>
      <w:r w:rsidR="00495278" w:rsidRPr="00495278">
        <w:rPr>
          <w:rFonts w:ascii="Cambria" w:hAnsi="Cambria"/>
          <w:lang w:val="id-ID"/>
        </w:rPr>
        <w:t xml:space="preserve">, </w:t>
      </w:r>
      <w:r w:rsidR="001B49A9">
        <w:rPr>
          <w:rFonts w:ascii="Cambria" w:hAnsi="Cambria"/>
          <w:lang w:val="id-ID"/>
        </w:rPr>
        <w:t xml:space="preserve">kontribusi dari pertambangan diperkirakan mencapai </w:t>
      </w:r>
      <w:r w:rsidR="00495278" w:rsidRPr="00495278">
        <w:rPr>
          <w:rFonts w:ascii="Cambria" w:hAnsi="Cambria"/>
          <w:lang w:val="id-ID"/>
        </w:rPr>
        <w:t>90%.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F14D8"/>
    <w:multiLevelType w:val="hybridMultilevel"/>
    <w:tmpl w:val="48E25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1711E"/>
    <w:multiLevelType w:val="hybridMultilevel"/>
    <w:tmpl w:val="E0B65998"/>
    <w:lvl w:ilvl="0" w:tplc="FE4AEAE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63"/>
    <w:rsid w:val="0005439D"/>
    <w:rsid w:val="00111C99"/>
    <w:rsid w:val="00137B2D"/>
    <w:rsid w:val="001859DC"/>
    <w:rsid w:val="001919CF"/>
    <w:rsid w:val="00196559"/>
    <w:rsid w:val="001B055C"/>
    <w:rsid w:val="001B49A9"/>
    <w:rsid w:val="001F03E9"/>
    <w:rsid w:val="00272970"/>
    <w:rsid w:val="002963FA"/>
    <w:rsid w:val="00296D36"/>
    <w:rsid w:val="002B4AFE"/>
    <w:rsid w:val="002E2319"/>
    <w:rsid w:val="002E5F2E"/>
    <w:rsid w:val="00306899"/>
    <w:rsid w:val="00307621"/>
    <w:rsid w:val="003500E0"/>
    <w:rsid w:val="00365017"/>
    <w:rsid w:val="003A456A"/>
    <w:rsid w:val="003E0181"/>
    <w:rsid w:val="003E5680"/>
    <w:rsid w:val="00404988"/>
    <w:rsid w:val="004459A7"/>
    <w:rsid w:val="00454AA3"/>
    <w:rsid w:val="00466E91"/>
    <w:rsid w:val="004716DA"/>
    <w:rsid w:val="00480874"/>
    <w:rsid w:val="00495278"/>
    <w:rsid w:val="00495EB7"/>
    <w:rsid w:val="004B1331"/>
    <w:rsid w:val="004C2263"/>
    <w:rsid w:val="004E011A"/>
    <w:rsid w:val="00513889"/>
    <w:rsid w:val="00514F49"/>
    <w:rsid w:val="00521E28"/>
    <w:rsid w:val="00526DA8"/>
    <w:rsid w:val="00533D5F"/>
    <w:rsid w:val="00540C93"/>
    <w:rsid w:val="005803D4"/>
    <w:rsid w:val="005952BB"/>
    <w:rsid w:val="00614D4E"/>
    <w:rsid w:val="00614DC9"/>
    <w:rsid w:val="00622475"/>
    <w:rsid w:val="00637AD0"/>
    <w:rsid w:val="00641096"/>
    <w:rsid w:val="0067295F"/>
    <w:rsid w:val="006A1E0B"/>
    <w:rsid w:val="006A6845"/>
    <w:rsid w:val="006E521F"/>
    <w:rsid w:val="00707F85"/>
    <w:rsid w:val="007141F9"/>
    <w:rsid w:val="0074792D"/>
    <w:rsid w:val="007602B8"/>
    <w:rsid w:val="007631F4"/>
    <w:rsid w:val="007638A4"/>
    <w:rsid w:val="00775717"/>
    <w:rsid w:val="00794607"/>
    <w:rsid w:val="00844AE3"/>
    <w:rsid w:val="00866EF7"/>
    <w:rsid w:val="00895BDB"/>
    <w:rsid w:val="008B3DB7"/>
    <w:rsid w:val="008B62AA"/>
    <w:rsid w:val="008E1BFB"/>
    <w:rsid w:val="008E3DE3"/>
    <w:rsid w:val="00923BAE"/>
    <w:rsid w:val="00936DBB"/>
    <w:rsid w:val="009460FB"/>
    <w:rsid w:val="00950537"/>
    <w:rsid w:val="00951E6C"/>
    <w:rsid w:val="00980189"/>
    <w:rsid w:val="009A5BE4"/>
    <w:rsid w:val="009E7B3C"/>
    <w:rsid w:val="009F59AE"/>
    <w:rsid w:val="009F7E15"/>
    <w:rsid w:val="00A17E6B"/>
    <w:rsid w:val="00A30619"/>
    <w:rsid w:val="00A75605"/>
    <w:rsid w:val="00A8683F"/>
    <w:rsid w:val="00A95E88"/>
    <w:rsid w:val="00AC2EC9"/>
    <w:rsid w:val="00B465E8"/>
    <w:rsid w:val="00B63C87"/>
    <w:rsid w:val="00B77374"/>
    <w:rsid w:val="00B94210"/>
    <w:rsid w:val="00BF4606"/>
    <w:rsid w:val="00C2789A"/>
    <w:rsid w:val="00C41201"/>
    <w:rsid w:val="00C81D87"/>
    <w:rsid w:val="00C8454F"/>
    <w:rsid w:val="00C85E9F"/>
    <w:rsid w:val="00C87A1C"/>
    <w:rsid w:val="00CA4068"/>
    <w:rsid w:val="00CB31B0"/>
    <w:rsid w:val="00CC6CBC"/>
    <w:rsid w:val="00CD6DFD"/>
    <w:rsid w:val="00CE4875"/>
    <w:rsid w:val="00D06A2E"/>
    <w:rsid w:val="00DB15B7"/>
    <w:rsid w:val="00DF5D68"/>
    <w:rsid w:val="00E12B43"/>
    <w:rsid w:val="00E36B5E"/>
    <w:rsid w:val="00EA2C13"/>
    <w:rsid w:val="00ED23BD"/>
    <w:rsid w:val="00EE667F"/>
    <w:rsid w:val="00F2225E"/>
    <w:rsid w:val="00F84916"/>
    <w:rsid w:val="00F95D89"/>
    <w:rsid w:val="00FA0241"/>
    <w:rsid w:val="00FE3697"/>
    <w:rsid w:val="00FF145A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C22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2263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4C2263"/>
    <w:rPr>
      <w:vertAlign w:val="superscript"/>
    </w:rPr>
  </w:style>
  <w:style w:type="character" w:customStyle="1" w:styleId="hps">
    <w:name w:val="hps"/>
    <w:basedOn w:val="DefaultParagraphFont"/>
    <w:rsid w:val="003E0181"/>
  </w:style>
  <w:style w:type="character" w:customStyle="1" w:styleId="longtext">
    <w:name w:val="long_text"/>
    <w:basedOn w:val="DefaultParagraphFont"/>
    <w:rsid w:val="00A95E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C22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2263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4C2263"/>
    <w:rPr>
      <w:vertAlign w:val="superscript"/>
    </w:rPr>
  </w:style>
  <w:style w:type="character" w:customStyle="1" w:styleId="hps">
    <w:name w:val="hps"/>
    <w:basedOn w:val="DefaultParagraphFont"/>
    <w:rsid w:val="003E0181"/>
  </w:style>
  <w:style w:type="character" w:customStyle="1" w:styleId="longtext">
    <w:name w:val="long_text"/>
    <w:basedOn w:val="DefaultParagraphFont"/>
    <w:rsid w:val="00A95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95066-F615-4E94-8972-9F82183E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ambarsari</dc:creator>
  <cp:lastModifiedBy>ambarsari</cp:lastModifiedBy>
  <cp:revision>34</cp:revision>
  <dcterms:created xsi:type="dcterms:W3CDTF">2013-10-29T01:56:00Z</dcterms:created>
  <dcterms:modified xsi:type="dcterms:W3CDTF">2013-10-29T06:31:00Z</dcterms:modified>
</cp:coreProperties>
</file>